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7EB9" w14:textId="2933A8DC" w:rsidR="002E3199" w:rsidRPr="00DE1A85" w:rsidRDefault="00F35111">
      <w:pPr>
        <w:jc w:val="center"/>
        <w:rPr>
          <w:rFonts w:ascii="Verdana" w:hAnsi="Verdana"/>
          <w:b/>
          <w:color w:val="auto"/>
          <w:szCs w:val="24"/>
        </w:rPr>
      </w:pPr>
      <w:r w:rsidRPr="00DE1A85">
        <w:rPr>
          <w:rFonts w:ascii="Verdana" w:hAnsi="Verdana"/>
          <w:b/>
          <w:color w:val="auto"/>
          <w:szCs w:val="24"/>
        </w:rPr>
        <w:t xml:space="preserve">THE </w:t>
      </w:r>
      <w:r w:rsidR="002E3199" w:rsidRPr="00DE1A85">
        <w:rPr>
          <w:rFonts w:ascii="Verdana" w:hAnsi="Verdana"/>
          <w:b/>
          <w:color w:val="auto"/>
          <w:szCs w:val="24"/>
        </w:rPr>
        <w:t xml:space="preserve">CORPORATION OF THE </w:t>
      </w:r>
      <w:smartTag w:uri="urn:schemas-microsoft-com:office:smarttags" w:element="State">
        <w:smartTag w:uri="urn:schemas-microsoft-com:office:smarttags" w:element="PlaceType">
          <w:r w:rsidR="002E3199" w:rsidRPr="00DE1A85">
            <w:rPr>
              <w:rFonts w:ascii="Verdana" w:hAnsi="Verdana"/>
              <w:b/>
              <w:color w:val="auto"/>
              <w:szCs w:val="24"/>
            </w:rPr>
            <w:t>TOWNSHIP</w:t>
          </w:r>
        </w:smartTag>
        <w:r w:rsidR="002E3199" w:rsidRPr="00DE1A85">
          <w:rPr>
            <w:rFonts w:ascii="Verdana" w:hAnsi="Verdana"/>
            <w:b/>
            <w:color w:val="auto"/>
            <w:szCs w:val="24"/>
          </w:rPr>
          <w:t xml:space="preserve"> OF </w:t>
        </w:r>
        <w:smartTag w:uri="urn:schemas-microsoft-com:office:smarttags" w:element="address">
          <w:r w:rsidR="002E3199" w:rsidRPr="00DE1A85">
            <w:rPr>
              <w:rFonts w:ascii="Verdana" w:hAnsi="Verdana"/>
              <w:b/>
              <w:color w:val="auto"/>
              <w:szCs w:val="24"/>
            </w:rPr>
            <w:t>TAY</w:t>
          </w:r>
        </w:smartTag>
      </w:smartTag>
    </w:p>
    <w:p w14:paraId="03B3724D" w14:textId="77777777" w:rsidR="002E3199" w:rsidRPr="00DE1A85" w:rsidRDefault="002E3199">
      <w:pPr>
        <w:jc w:val="center"/>
        <w:rPr>
          <w:rFonts w:ascii="Verdana" w:hAnsi="Verdana"/>
          <w:b/>
          <w:color w:val="auto"/>
          <w:szCs w:val="24"/>
        </w:rPr>
      </w:pPr>
    </w:p>
    <w:p w14:paraId="1634A774" w14:textId="71BBC393" w:rsidR="00662BAF" w:rsidRDefault="002E3199" w:rsidP="0068270D">
      <w:pPr>
        <w:pStyle w:val="Heading1"/>
        <w:rPr>
          <w:rFonts w:ascii="Verdana" w:hAnsi="Verdana"/>
          <w:color w:val="auto"/>
          <w:szCs w:val="24"/>
        </w:rPr>
      </w:pPr>
      <w:r w:rsidRPr="00DE1A85">
        <w:rPr>
          <w:rFonts w:ascii="Verdana" w:hAnsi="Verdana"/>
          <w:color w:val="auto"/>
          <w:szCs w:val="24"/>
        </w:rPr>
        <w:t xml:space="preserve">BY-LAW NO. </w:t>
      </w:r>
      <w:r w:rsidR="00A801CD">
        <w:rPr>
          <w:rFonts w:ascii="Verdana" w:hAnsi="Verdana"/>
          <w:color w:val="auto"/>
          <w:szCs w:val="24"/>
        </w:rPr>
        <w:t>2</w:t>
      </w:r>
      <w:r w:rsidR="00EA49A8">
        <w:rPr>
          <w:rFonts w:ascii="Verdana" w:hAnsi="Verdana"/>
          <w:color w:val="auto"/>
          <w:szCs w:val="24"/>
        </w:rPr>
        <w:t>02</w:t>
      </w:r>
      <w:r w:rsidR="00796577">
        <w:rPr>
          <w:rFonts w:ascii="Verdana" w:hAnsi="Verdana"/>
          <w:color w:val="auto"/>
          <w:szCs w:val="24"/>
        </w:rPr>
        <w:t>4</w:t>
      </w:r>
      <w:r w:rsidR="00F325BE">
        <w:rPr>
          <w:rFonts w:ascii="Verdana" w:hAnsi="Verdana"/>
          <w:color w:val="auto"/>
          <w:szCs w:val="24"/>
        </w:rPr>
        <w:t>-</w:t>
      </w:r>
      <w:r w:rsidR="00796577">
        <w:rPr>
          <w:rFonts w:ascii="Verdana" w:hAnsi="Verdana"/>
          <w:color w:val="auto"/>
          <w:szCs w:val="24"/>
        </w:rPr>
        <w:t>XX</w:t>
      </w:r>
    </w:p>
    <w:p w14:paraId="7D08B872" w14:textId="77777777" w:rsidR="0068270D" w:rsidRPr="0068270D" w:rsidRDefault="0068270D" w:rsidP="0068270D"/>
    <w:p w14:paraId="2A018BF9" w14:textId="29DA24D4" w:rsidR="00EC159A" w:rsidRPr="00EC159A" w:rsidRDefault="00DE02DA" w:rsidP="00EC159A">
      <w:pPr>
        <w:ind w:right="-1"/>
        <w:jc w:val="center"/>
        <w:rPr>
          <w:rFonts w:ascii="Verdana" w:hAnsi="Verdana"/>
          <w:b/>
          <w:color w:val="auto"/>
          <w:szCs w:val="24"/>
        </w:rPr>
      </w:pPr>
      <w:r>
        <w:rPr>
          <w:rFonts w:ascii="Verdana" w:hAnsi="Verdana"/>
          <w:b/>
          <w:color w:val="auto"/>
          <w:szCs w:val="24"/>
        </w:rPr>
        <w:t xml:space="preserve">Being a By-law </w:t>
      </w:r>
      <w:r w:rsidR="00EC159A" w:rsidRPr="00EC159A">
        <w:rPr>
          <w:rFonts w:ascii="Verdana" w:hAnsi="Verdana"/>
          <w:b/>
          <w:color w:val="auto"/>
          <w:szCs w:val="24"/>
        </w:rPr>
        <w:t>to amend Zoning By-law 2000-57 being the General Zoning By-law for the Township of Tay</w:t>
      </w:r>
    </w:p>
    <w:p w14:paraId="5298ED2A" w14:textId="1863906D" w:rsidR="002E3199" w:rsidRPr="00DE1A85" w:rsidRDefault="002E3199" w:rsidP="0061477C">
      <w:pPr>
        <w:ind w:right="-1"/>
        <w:jc w:val="center"/>
        <w:rPr>
          <w:rFonts w:ascii="Verdana" w:hAnsi="Verdana"/>
          <w:b/>
          <w:color w:val="auto"/>
          <w:szCs w:val="24"/>
        </w:rPr>
      </w:pPr>
    </w:p>
    <w:p w14:paraId="4FCF58EC" w14:textId="77777777" w:rsidR="002E3199" w:rsidRPr="00DE1A85" w:rsidRDefault="002E3199">
      <w:pPr>
        <w:rPr>
          <w:rFonts w:ascii="Verdana" w:hAnsi="Verdana"/>
          <w:color w:val="auto"/>
          <w:szCs w:val="24"/>
        </w:rPr>
      </w:pPr>
    </w:p>
    <w:p w14:paraId="60932874" w14:textId="63055A30" w:rsidR="002E3199" w:rsidRPr="00DE1A85" w:rsidRDefault="002E3199" w:rsidP="001C3719">
      <w:pPr>
        <w:jc w:val="both"/>
        <w:rPr>
          <w:rFonts w:ascii="Verdana" w:hAnsi="Verdana"/>
          <w:color w:val="auto"/>
          <w:szCs w:val="24"/>
        </w:rPr>
      </w:pPr>
      <w:r w:rsidRPr="00DE1A85">
        <w:rPr>
          <w:rFonts w:ascii="Verdana" w:hAnsi="Verdana"/>
          <w:b/>
          <w:color w:val="auto"/>
          <w:szCs w:val="24"/>
        </w:rPr>
        <w:t>WHEREAS</w:t>
      </w:r>
      <w:r w:rsidRPr="00DE1A85">
        <w:rPr>
          <w:rFonts w:ascii="Verdana" w:hAnsi="Verdana"/>
          <w:color w:val="auto"/>
          <w:szCs w:val="24"/>
        </w:rPr>
        <w:t xml:space="preserve"> </w:t>
      </w:r>
      <w:r w:rsidR="00EC159A" w:rsidRPr="00EC159A">
        <w:rPr>
          <w:rFonts w:ascii="Verdana" w:hAnsi="Verdana"/>
          <w:color w:val="auto"/>
          <w:szCs w:val="24"/>
        </w:rPr>
        <w:t>By-law Number 2000-57 is the General Zoning By-law of the Corporation of the Township of Tay; and,</w:t>
      </w:r>
    </w:p>
    <w:p w14:paraId="0883D85D" w14:textId="77777777" w:rsidR="002E3199" w:rsidRPr="00DE1A85" w:rsidRDefault="002E3199" w:rsidP="001C3719">
      <w:pPr>
        <w:jc w:val="both"/>
        <w:rPr>
          <w:rFonts w:ascii="Verdana" w:hAnsi="Verdana"/>
          <w:color w:val="auto"/>
          <w:szCs w:val="24"/>
        </w:rPr>
      </w:pPr>
    </w:p>
    <w:p w14:paraId="451022AE" w14:textId="6ED5EDF9" w:rsidR="002E3199" w:rsidRDefault="002E3199" w:rsidP="001C3719">
      <w:pPr>
        <w:jc w:val="both"/>
        <w:rPr>
          <w:rFonts w:ascii="Verdana" w:hAnsi="Verdana"/>
          <w:color w:val="auto"/>
          <w:szCs w:val="24"/>
        </w:rPr>
      </w:pPr>
      <w:r w:rsidRPr="00DE1A85">
        <w:rPr>
          <w:rFonts w:ascii="Verdana" w:hAnsi="Verdana"/>
          <w:b/>
          <w:color w:val="auto"/>
          <w:szCs w:val="24"/>
        </w:rPr>
        <w:t>AND WHEREAS</w:t>
      </w:r>
      <w:r w:rsidRPr="00DE1A85">
        <w:rPr>
          <w:rFonts w:ascii="Verdana" w:hAnsi="Verdana"/>
          <w:color w:val="auto"/>
          <w:szCs w:val="24"/>
        </w:rPr>
        <w:t xml:space="preserve"> </w:t>
      </w:r>
      <w:r w:rsidR="00EC159A" w:rsidRPr="00EC159A">
        <w:rPr>
          <w:rFonts w:ascii="Verdana" w:hAnsi="Verdana"/>
          <w:color w:val="auto"/>
          <w:szCs w:val="24"/>
        </w:rPr>
        <w:t>the Council of the Corporation of the Township of Tay has Amended the General Zoning By-law and has approved the proposed amendments; and,</w:t>
      </w:r>
    </w:p>
    <w:p w14:paraId="43EAA8DC" w14:textId="77777777" w:rsidR="00EC159A" w:rsidRDefault="00EC159A" w:rsidP="001C3719">
      <w:pPr>
        <w:jc w:val="both"/>
        <w:rPr>
          <w:rFonts w:ascii="Verdana" w:hAnsi="Verdana"/>
          <w:color w:val="auto"/>
          <w:szCs w:val="24"/>
        </w:rPr>
      </w:pPr>
    </w:p>
    <w:p w14:paraId="6A29BD85" w14:textId="77777777" w:rsidR="00EC159A" w:rsidRPr="00EC159A" w:rsidRDefault="00EC159A" w:rsidP="00EC159A">
      <w:pPr>
        <w:jc w:val="both"/>
        <w:rPr>
          <w:rFonts w:ascii="Verdana" w:hAnsi="Verdana"/>
          <w:color w:val="auto"/>
          <w:szCs w:val="24"/>
        </w:rPr>
      </w:pPr>
      <w:r w:rsidRPr="00EC159A">
        <w:rPr>
          <w:rFonts w:ascii="Verdana" w:hAnsi="Verdana"/>
          <w:b/>
          <w:color w:val="auto"/>
          <w:szCs w:val="24"/>
        </w:rPr>
        <w:t>AND WHEREAS</w:t>
      </w:r>
      <w:r w:rsidRPr="00EC159A">
        <w:rPr>
          <w:rFonts w:ascii="Verdana" w:hAnsi="Verdana"/>
          <w:color w:val="auto"/>
          <w:szCs w:val="24"/>
        </w:rPr>
        <w:t xml:space="preserve"> authority is granted pursuant to Section 34 of the Planning Act, R.S.O. 1990 to enact such amendments; </w:t>
      </w:r>
    </w:p>
    <w:p w14:paraId="170F3E36" w14:textId="77777777" w:rsidR="002E3199" w:rsidRPr="00DE1A85" w:rsidRDefault="002E3199" w:rsidP="001C3719">
      <w:pPr>
        <w:jc w:val="both"/>
        <w:rPr>
          <w:rFonts w:ascii="Verdana" w:hAnsi="Verdana"/>
          <w:color w:val="auto"/>
          <w:szCs w:val="24"/>
        </w:rPr>
      </w:pPr>
    </w:p>
    <w:p w14:paraId="3ED25EA8" w14:textId="77777777" w:rsidR="002E3199" w:rsidRPr="00DE1A85" w:rsidRDefault="002E3199" w:rsidP="001C3719">
      <w:pPr>
        <w:jc w:val="both"/>
        <w:rPr>
          <w:rFonts w:ascii="Verdana" w:hAnsi="Verdana"/>
          <w:b/>
          <w:color w:val="auto"/>
          <w:szCs w:val="24"/>
        </w:rPr>
      </w:pPr>
      <w:r w:rsidRPr="00DE1A85">
        <w:rPr>
          <w:rFonts w:ascii="Verdana" w:hAnsi="Verdana"/>
          <w:b/>
          <w:color w:val="auto"/>
          <w:szCs w:val="24"/>
        </w:rPr>
        <w:t>NOW THEREFORE</w:t>
      </w:r>
      <w:r w:rsidRPr="00DE1A85">
        <w:rPr>
          <w:rFonts w:ascii="Verdana" w:hAnsi="Verdana"/>
          <w:color w:val="auto"/>
          <w:szCs w:val="24"/>
        </w:rPr>
        <w:t xml:space="preserve"> </w:t>
      </w:r>
      <w:r w:rsidRPr="00DE1A85">
        <w:rPr>
          <w:rFonts w:ascii="Verdana" w:hAnsi="Verdana"/>
          <w:b/>
          <w:color w:val="auto"/>
          <w:szCs w:val="24"/>
        </w:rPr>
        <w:t xml:space="preserve">THE COUNCIL OF THE CORPORATION OF THE </w:t>
      </w:r>
      <w:smartTag w:uri="urn:schemas-microsoft-com:office:smarttags" w:element="State">
        <w:smartTag w:uri="urn:schemas-microsoft-com:office:smarttags" w:element="PlaceType">
          <w:r w:rsidRPr="00DE1A85">
            <w:rPr>
              <w:rFonts w:ascii="Verdana" w:hAnsi="Verdana"/>
              <w:b/>
              <w:color w:val="auto"/>
              <w:szCs w:val="24"/>
            </w:rPr>
            <w:t>TOWNSHIP</w:t>
          </w:r>
        </w:smartTag>
        <w:r w:rsidRPr="00DE1A85">
          <w:rPr>
            <w:rFonts w:ascii="Verdana" w:hAnsi="Verdana"/>
            <w:b/>
            <w:color w:val="auto"/>
            <w:szCs w:val="24"/>
          </w:rPr>
          <w:t xml:space="preserve"> OF </w:t>
        </w:r>
        <w:smartTag w:uri="urn:schemas-microsoft-com:office:smarttags" w:element="address">
          <w:r w:rsidRPr="00DE1A85">
            <w:rPr>
              <w:rFonts w:ascii="Verdana" w:hAnsi="Verdana"/>
              <w:b/>
              <w:color w:val="auto"/>
              <w:szCs w:val="24"/>
            </w:rPr>
            <w:t>TAY</w:t>
          </w:r>
        </w:smartTag>
      </w:smartTag>
      <w:r w:rsidRPr="00DE1A85">
        <w:rPr>
          <w:rFonts w:ascii="Verdana" w:hAnsi="Verdana"/>
          <w:b/>
          <w:color w:val="auto"/>
          <w:szCs w:val="24"/>
        </w:rPr>
        <w:t xml:space="preserve"> ENACTS AND BE IT ENACTED AS FOLLOWS;</w:t>
      </w:r>
    </w:p>
    <w:p w14:paraId="27861FFC" w14:textId="77777777" w:rsidR="002E3199" w:rsidRPr="00DE1A85" w:rsidRDefault="002E3199" w:rsidP="001C3719">
      <w:pPr>
        <w:jc w:val="both"/>
        <w:rPr>
          <w:rFonts w:ascii="Verdana" w:hAnsi="Verdana"/>
          <w:color w:val="auto"/>
          <w:szCs w:val="24"/>
        </w:rPr>
      </w:pPr>
    </w:p>
    <w:p w14:paraId="2C18ED9F" w14:textId="77777777" w:rsidR="00471AE2" w:rsidRDefault="00471AE2" w:rsidP="00471AE2">
      <w:pPr>
        <w:pStyle w:val="ListParagraph"/>
        <w:numPr>
          <w:ilvl w:val="0"/>
          <w:numId w:val="6"/>
        </w:numPr>
        <w:jc w:val="both"/>
        <w:rPr>
          <w:rFonts w:ascii="Verdana" w:hAnsi="Verdana"/>
          <w:color w:val="auto"/>
          <w:szCs w:val="24"/>
        </w:rPr>
      </w:pPr>
      <w:bookmarkStart w:id="0" w:name="OLE_LINK1"/>
      <w:r>
        <w:rPr>
          <w:rFonts w:ascii="Verdana" w:hAnsi="Verdana"/>
          <w:color w:val="auto"/>
          <w:szCs w:val="24"/>
        </w:rPr>
        <w:t>Section 3 – Definitions</w:t>
      </w:r>
    </w:p>
    <w:p w14:paraId="5360B990" w14:textId="77777777" w:rsidR="00471AE2" w:rsidRDefault="00471AE2" w:rsidP="00471AE2">
      <w:pPr>
        <w:pStyle w:val="ListParagraph"/>
        <w:ind w:left="502"/>
        <w:jc w:val="both"/>
        <w:rPr>
          <w:rFonts w:ascii="Verdana" w:hAnsi="Verdana"/>
          <w:color w:val="auto"/>
          <w:szCs w:val="24"/>
        </w:rPr>
      </w:pPr>
    </w:p>
    <w:p w14:paraId="40BBAA1F" w14:textId="77777777" w:rsidR="00471AE2" w:rsidRPr="00340C66" w:rsidRDefault="00471AE2" w:rsidP="00471AE2">
      <w:pPr>
        <w:pStyle w:val="ListParagraph"/>
        <w:ind w:left="502"/>
        <w:jc w:val="both"/>
        <w:rPr>
          <w:rFonts w:ascii="Verdana" w:hAnsi="Verdana"/>
          <w:color w:val="auto"/>
          <w:szCs w:val="24"/>
        </w:rPr>
      </w:pPr>
      <w:r w:rsidRPr="00340C66">
        <w:rPr>
          <w:rFonts w:ascii="Verdana" w:hAnsi="Verdana"/>
          <w:color w:val="auto"/>
          <w:szCs w:val="24"/>
        </w:rPr>
        <w:t xml:space="preserve">3.2.78 Dwelling Unit, Accessory </w:t>
      </w:r>
      <w:r>
        <w:rPr>
          <w:rFonts w:ascii="Verdana" w:hAnsi="Verdana"/>
          <w:color w:val="auto"/>
          <w:szCs w:val="24"/>
        </w:rPr>
        <w:t>“</w:t>
      </w:r>
      <w:r w:rsidRPr="00340C66">
        <w:rPr>
          <w:rFonts w:ascii="Verdana" w:hAnsi="Verdana"/>
          <w:color w:val="auto"/>
          <w:szCs w:val="24"/>
        </w:rPr>
        <w:t>shall mean a self-contained dwelling unit accessory to the main use of the property and contained within or attached to a main use building</w:t>
      </w:r>
      <w:r>
        <w:rPr>
          <w:rFonts w:ascii="Verdana" w:hAnsi="Verdana"/>
          <w:color w:val="auto"/>
          <w:szCs w:val="24"/>
        </w:rPr>
        <w:t xml:space="preserve">” be amended to </w:t>
      </w:r>
    </w:p>
    <w:p w14:paraId="7A7A34CF" w14:textId="77777777" w:rsidR="00471AE2" w:rsidRDefault="00471AE2" w:rsidP="00471AE2">
      <w:pPr>
        <w:pStyle w:val="ListParagraph"/>
        <w:ind w:left="502"/>
        <w:jc w:val="both"/>
        <w:rPr>
          <w:rFonts w:ascii="Verdana" w:hAnsi="Verdana"/>
          <w:color w:val="auto"/>
          <w:szCs w:val="24"/>
        </w:rPr>
      </w:pPr>
      <w:r>
        <w:rPr>
          <w:rFonts w:ascii="Verdana" w:hAnsi="Verdana"/>
          <w:color w:val="auto"/>
          <w:szCs w:val="24"/>
        </w:rPr>
        <w:t>“</w:t>
      </w:r>
      <w:r w:rsidRPr="00340C66">
        <w:rPr>
          <w:rFonts w:ascii="Verdana" w:hAnsi="Verdana"/>
          <w:color w:val="auto"/>
          <w:szCs w:val="24"/>
        </w:rPr>
        <w:t>shall mean a self-contained dwelling unit accessory to the main use of the property and contained within or attached to a main use building</w:t>
      </w:r>
      <w:r>
        <w:rPr>
          <w:rFonts w:ascii="Verdana" w:hAnsi="Verdana"/>
          <w:color w:val="auto"/>
          <w:szCs w:val="24"/>
        </w:rPr>
        <w:t>, or as a detached dwelling unit.</w:t>
      </w:r>
      <w:r w:rsidRPr="00340C66">
        <w:rPr>
          <w:rFonts w:ascii="Verdana" w:hAnsi="Verdana"/>
          <w:color w:val="auto"/>
          <w:szCs w:val="24"/>
        </w:rPr>
        <w:t>”</w:t>
      </w:r>
    </w:p>
    <w:p w14:paraId="3D48E954" w14:textId="77777777" w:rsidR="00471AE2" w:rsidRDefault="00471AE2" w:rsidP="00471AE2">
      <w:pPr>
        <w:pStyle w:val="ListParagraph"/>
        <w:ind w:left="502"/>
        <w:jc w:val="both"/>
        <w:rPr>
          <w:rFonts w:ascii="Verdana" w:hAnsi="Verdana"/>
          <w:color w:val="auto"/>
          <w:szCs w:val="24"/>
        </w:rPr>
      </w:pPr>
    </w:p>
    <w:p w14:paraId="312C065F" w14:textId="77777777" w:rsidR="00471AE2" w:rsidRDefault="00471AE2" w:rsidP="00471AE2">
      <w:pPr>
        <w:pStyle w:val="ListParagraph"/>
        <w:ind w:left="502"/>
        <w:jc w:val="both"/>
        <w:rPr>
          <w:rFonts w:ascii="Verdana" w:hAnsi="Verdana"/>
          <w:color w:val="auto"/>
          <w:szCs w:val="24"/>
        </w:rPr>
      </w:pPr>
      <w:r w:rsidRPr="00D858A8">
        <w:rPr>
          <w:rFonts w:ascii="Verdana" w:hAnsi="Verdana"/>
          <w:color w:val="auto"/>
          <w:szCs w:val="24"/>
        </w:rPr>
        <w:t xml:space="preserve">3.2.96 Garage, Attached </w:t>
      </w:r>
      <w:r>
        <w:rPr>
          <w:rFonts w:ascii="Verdana" w:hAnsi="Verdana"/>
          <w:color w:val="auto"/>
          <w:szCs w:val="24"/>
        </w:rPr>
        <w:t>“</w:t>
      </w:r>
      <w:r w:rsidRPr="00D858A8">
        <w:rPr>
          <w:rFonts w:ascii="Verdana" w:hAnsi="Verdana"/>
          <w:color w:val="auto"/>
          <w:szCs w:val="24"/>
        </w:rPr>
        <w:t>shall mean a garage, accessory to a dwelling unit on the same lot, and separated therefrom by a common wall and/or common roof structure. For the purposes of this definition, a wall between a house and an attached garage may be considered "common" as long as at least forty (40) percent of the length of the garage wall is common with the dwelling wall</w:t>
      </w:r>
      <w:r>
        <w:rPr>
          <w:rFonts w:ascii="Verdana" w:hAnsi="Verdana"/>
          <w:color w:val="auto"/>
          <w:szCs w:val="24"/>
        </w:rPr>
        <w:t>”, be amended by removing “</w:t>
      </w:r>
      <w:r w:rsidRPr="00D858A8">
        <w:rPr>
          <w:rFonts w:ascii="Verdana" w:hAnsi="Verdana"/>
          <w:color w:val="auto"/>
          <w:szCs w:val="24"/>
        </w:rPr>
        <w:t>For the purposes of this definition, a wall between a house and an attached garage may be considered "common" as long as at least forty (40) percent of the length of the garage wall is common with the dwelling wall”</w:t>
      </w:r>
      <w:r>
        <w:rPr>
          <w:rFonts w:ascii="Verdana" w:hAnsi="Verdana"/>
          <w:color w:val="auto"/>
          <w:szCs w:val="24"/>
        </w:rPr>
        <w:t>.</w:t>
      </w:r>
    </w:p>
    <w:p w14:paraId="00FD2F9A" w14:textId="77777777" w:rsidR="00471AE2" w:rsidRPr="00641322" w:rsidRDefault="00471AE2" w:rsidP="00471AE2">
      <w:pPr>
        <w:jc w:val="both"/>
        <w:rPr>
          <w:rFonts w:ascii="Verdana" w:hAnsi="Verdana"/>
          <w:color w:val="auto"/>
          <w:szCs w:val="24"/>
        </w:rPr>
      </w:pPr>
    </w:p>
    <w:p w14:paraId="0C17C632" w14:textId="795A54DB" w:rsidR="00471AE2" w:rsidRPr="00641322" w:rsidRDefault="00471AE2" w:rsidP="00471AE2">
      <w:pPr>
        <w:pStyle w:val="ListParagraph"/>
        <w:ind w:left="502"/>
        <w:jc w:val="both"/>
        <w:rPr>
          <w:rFonts w:ascii="Verdana" w:hAnsi="Verdana"/>
          <w:color w:val="auto"/>
          <w:szCs w:val="24"/>
        </w:rPr>
      </w:pPr>
      <w:r w:rsidRPr="00641322">
        <w:rPr>
          <w:rFonts w:ascii="Verdana" w:hAnsi="Verdana"/>
          <w:color w:val="auto"/>
          <w:szCs w:val="24"/>
        </w:rPr>
        <w:t xml:space="preserve">3.2.98 Garden Suite </w:t>
      </w:r>
      <w:r>
        <w:rPr>
          <w:rFonts w:ascii="Verdana" w:hAnsi="Verdana"/>
          <w:color w:val="auto"/>
          <w:szCs w:val="24"/>
        </w:rPr>
        <w:t>“</w:t>
      </w:r>
      <w:r w:rsidRPr="00641322">
        <w:rPr>
          <w:rFonts w:ascii="Verdana" w:hAnsi="Verdana"/>
          <w:color w:val="auto"/>
          <w:szCs w:val="24"/>
        </w:rPr>
        <w:t>shall mean a detached dwelling unit no larger than 70 square metres in area and considered secondary and incidental to an existing single detached dwelling unit</w:t>
      </w:r>
      <w:r>
        <w:rPr>
          <w:rFonts w:ascii="Verdana" w:hAnsi="Verdana"/>
          <w:color w:val="auto"/>
          <w:szCs w:val="24"/>
        </w:rPr>
        <w:t>” be amended to “</w:t>
      </w:r>
      <w:r w:rsidRPr="00641322">
        <w:rPr>
          <w:rFonts w:ascii="Verdana" w:hAnsi="Verdana"/>
          <w:color w:val="auto"/>
          <w:szCs w:val="24"/>
        </w:rPr>
        <w:t xml:space="preserve">shall mean a </w:t>
      </w:r>
      <w:r w:rsidR="00141971">
        <w:rPr>
          <w:rFonts w:ascii="Verdana" w:hAnsi="Verdana"/>
          <w:color w:val="auto"/>
          <w:szCs w:val="24"/>
        </w:rPr>
        <w:t xml:space="preserve">temporary </w:t>
      </w:r>
      <w:r w:rsidRPr="00641322">
        <w:rPr>
          <w:rFonts w:ascii="Verdana" w:hAnsi="Verdana"/>
          <w:color w:val="auto"/>
          <w:szCs w:val="24"/>
        </w:rPr>
        <w:t xml:space="preserve">detached dwelling unit </w:t>
      </w:r>
      <w:r>
        <w:rPr>
          <w:rFonts w:ascii="Verdana" w:hAnsi="Verdana"/>
          <w:color w:val="auto"/>
          <w:szCs w:val="24"/>
        </w:rPr>
        <w:t xml:space="preserve">which is </w:t>
      </w:r>
      <w:r w:rsidRPr="00641322">
        <w:rPr>
          <w:rFonts w:ascii="Verdana" w:hAnsi="Verdana"/>
          <w:color w:val="auto"/>
          <w:szCs w:val="24"/>
        </w:rPr>
        <w:t>considered secondary and incidental to an existing single detached dwelling unit</w:t>
      </w:r>
      <w:r>
        <w:rPr>
          <w:rFonts w:ascii="Verdana" w:hAnsi="Verdana"/>
          <w:color w:val="auto"/>
          <w:szCs w:val="24"/>
        </w:rPr>
        <w:t xml:space="preserve">”. </w:t>
      </w:r>
    </w:p>
    <w:p w14:paraId="071B15D4" w14:textId="77777777" w:rsidR="00471AE2" w:rsidRDefault="00471AE2" w:rsidP="00471AE2">
      <w:pPr>
        <w:pStyle w:val="ListParagraph"/>
        <w:ind w:left="502"/>
        <w:jc w:val="both"/>
        <w:rPr>
          <w:rFonts w:ascii="Verdana" w:hAnsi="Verdana"/>
          <w:color w:val="auto"/>
          <w:szCs w:val="24"/>
        </w:rPr>
      </w:pPr>
    </w:p>
    <w:p w14:paraId="352124B2" w14:textId="77777777" w:rsidR="00471AE2" w:rsidRDefault="00471AE2" w:rsidP="00471AE2">
      <w:pPr>
        <w:pStyle w:val="ListParagraph"/>
        <w:ind w:left="502"/>
        <w:jc w:val="both"/>
        <w:rPr>
          <w:rFonts w:ascii="Verdana" w:hAnsi="Verdana"/>
          <w:color w:val="auto"/>
          <w:szCs w:val="24"/>
        </w:rPr>
      </w:pPr>
      <w:r w:rsidRPr="00480D7E">
        <w:rPr>
          <w:rFonts w:ascii="Verdana" w:hAnsi="Verdana"/>
          <w:color w:val="auto"/>
          <w:szCs w:val="24"/>
        </w:rPr>
        <w:t xml:space="preserve">3.2.111 Height of Building </w:t>
      </w:r>
      <w:r>
        <w:rPr>
          <w:rFonts w:ascii="Verdana" w:hAnsi="Verdana"/>
          <w:color w:val="auto"/>
          <w:szCs w:val="24"/>
        </w:rPr>
        <w:t>“</w:t>
      </w:r>
      <w:r w:rsidRPr="00480D7E">
        <w:rPr>
          <w:rFonts w:ascii="Verdana" w:hAnsi="Verdana"/>
          <w:color w:val="auto"/>
          <w:szCs w:val="24"/>
        </w:rPr>
        <w:t xml:space="preserve">shall mean the vertical height from the finished grade and shall be calculated as follows: </w:t>
      </w:r>
    </w:p>
    <w:p w14:paraId="5389851C" w14:textId="77777777" w:rsidR="00471AE2" w:rsidRDefault="00471AE2" w:rsidP="00471AE2">
      <w:pPr>
        <w:pStyle w:val="ListParagraph"/>
        <w:ind w:left="502"/>
        <w:jc w:val="both"/>
        <w:rPr>
          <w:rFonts w:ascii="Verdana" w:hAnsi="Verdana"/>
          <w:color w:val="auto"/>
          <w:szCs w:val="24"/>
        </w:rPr>
      </w:pPr>
      <w:r w:rsidRPr="00480D7E">
        <w:rPr>
          <w:rFonts w:ascii="Verdana" w:hAnsi="Verdana"/>
          <w:color w:val="auto"/>
          <w:szCs w:val="24"/>
        </w:rPr>
        <w:t xml:space="preserve">(a) In the case of a flat roof, the highest point of the roof surface on the parapet, whichever is the greater; and </w:t>
      </w:r>
    </w:p>
    <w:p w14:paraId="5DC46D75" w14:textId="77777777" w:rsidR="00471AE2" w:rsidRDefault="00471AE2" w:rsidP="00471AE2">
      <w:pPr>
        <w:pStyle w:val="ListParagraph"/>
        <w:ind w:left="502"/>
        <w:jc w:val="both"/>
        <w:rPr>
          <w:rFonts w:ascii="Verdana" w:hAnsi="Verdana"/>
          <w:color w:val="auto"/>
          <w:szCs w:val="24"/>
        </w:rPr>
      </w:pPr>
      <w:r w:rsidRPr="00480D7E">
        <w:rPr>
          <w:rFonts w:ascii="Verdana" w:hAnsi="Verdana"/>
          <w:color w:val="auto"/>
          <w:szCs w:val="24"/>
        </w:rPr>
        <w:t>(b) In the case of a mansard roof, the deck roof line; and</w:t>
      </w:r>
    </w:p>
    <w:p w14:paraId="53A80169" w14:textId="2C9A55D9" w:rsidR="00471AE2" w:rsidRDefault="00471AE2" w:rsidP="00471AE2">
      <w:pPr>
        <w:pStyle w:val="ListParagraph"/>
        <w:ind w:left="502"/>
        <w:jc w:val="both"/>
        <w:rPr>
          <w:rFonts w:ascii="Verdana" w:hAnsi="Verdana"/>
          <w:color w:val="auto"/>
          <w:szCs w:val="24"/>
        </w:rPr>
      </w:pPr>
      <w:r w:rsidRPr="00480D7E">
        <w:rPr>
          <w:rFonts w:ascii="Verdana" w:hAnsi="Verdana"/>
          <w:color w:val="auto"/>
          <w:szCs w:val="24"/>
        </w:rPr>
        <w:t>(c) In the case of a gable, hip or gambrel roof, the average heights between the eves and ridge; exclusive of any accessory roof construction such as a chimney, tower, steeple, television antenna or mechanical penthouse”</w:t>
      </w:r>
      <w:r>
        <w:rPr>
          <w:rFonts w:ascii="Verdana" w:hAnsi="Verdana"/>
          <w:color w:val="auto"/>
          <w:szCs w:val="24"/>
        </w:rPr>
        <w:t>, by</w:t>
      </w:r>
      <w:r w:rsidRPr="00480D7E">
        <w:rPr>
          <w:rFonts w:ascii="Verdana" w:hAnsi="Verdana"/>
          <w:color w:val="auto"/>
          <w:szCs w:val="24"/>
        </w:rPr>
        <w:t xml:space="preserve"> amending the first sentence to the following: “shall mean the vertical height from the </w:t>
      </w:r>
      <w:r w:rsidR="0062163A">
        <w:rPr>
          <w:rFonts w:ascii="Verdana" w:hAnsi="Verdana"/>
          <w:color w:val="auto"/>
          <w:szCs w:val="24"/>
        </w:rPr>
        <w:t xml:space="preserve">average </w:t>
      </w:r>
      <w:r w:rsidRPr="00480D7E">
        <w:rPr>
          <w:rFonts w:ascii="Verdana" w:hAnsi="Verdana"/>
          <w:color w:val="auto"/>
          <w:szCs w:val="24"/>
        </w:rPr>
        <w:t xml:space="preserve">finished grade </w:t>
      </w:r>
      <w:r>
        <w:rPr>
          <w:rFonts w:ascii="Verdana" w:hAnsi="Verdana"/>
          <w:color w:val="auto"/>
          <w:szCs w:val="24"/>
        </w:rPr>
        <w:t xml:space="preserve">on all sides of the structure </w:t>
      </w:r>
      <w:r w:rsidRPr="00480D7E">
        <w:rPr>
          <w:rFonts w:ascii="Verdana" w:hAnsi="Verdana"/>
          <w:color w:val="auto"/>
          <w:szCs w:val="24"/>
        </w:rPr>
        <w:t>and shall be calculated as follows</w:t>
      </w:r>
      <w:r>
        <w:rPr>
          <w:rFonts w:ascii="Verdana" w:hAnsi="Verdana"/>
          <w:color w:val="auto"/>
          <w:szCs w:val="24"/>
        </w:rPr>
        <w:t>:”</w:t>
      </w:r>
    </w:p>
    <w:p w14:paraId="78EF2BD6" w14:textId="77777777" w:rsidR="00471AE2" w:rsidRPr="008628BE" w:rsidRDefault="00471AE2" w:rsidP="00471AE2">
      <w:pPr>
        <w:pStyle w:val="ListParagraph"/>
        <w:ind w:left="502"/>
        <w:jc w:val="both"/>
        <w:rPr>
          <w:rFonts w:ascii="Verdana" w:hAnsi="Verdana"/>
          <w:color w:val="auto"/>
          <w:szCs w:val="24"/>
        </w:rPr>
      </w:pPr>
    </w:p>
    <w:p w14:paraId="51C47D43" w14:textId="569EBC42" w:rsidR="00EC159A" w:rsidRPr="00BA12DC" w:rsidRDefault="00EC159A" w:rsidP="00BA12DC">
      <w:pPr>
        <w:pStyle w:val="ListParagraph"/>
        <w:numPr>
          <w:ilvl w:val="0"/>
          <w:numId w:val="6"/>
        </w:numPr>
        <w:jc w:val="both"/>
        <w:rPr>
          <w:rFonts w:ascii="Verdana" w:hAnsi="Verdana"/>
          <w:color w:val="auto"/>
          <w:szCs w:val="24"/>
        </w:rPr>
      </w:pPr>
      <w:r w:rsidRPr="00BA12DC">
        <w:rPr>
          <w:rFonts w:ascii="Verdana" w:hAnsi="Verdana"/>
          <w:color w:val="auto"/>
          <w:szCs w:val="24"/>
        </w:rPr>
        <w:t>Subsection 4.1.</w:t>
      </w:r>
      <w:r w:rsidR="00BA12DC" w:rsidRPr="00BA12DC">
        <w:rPr>
          <w:rFonts w:ascii="Verdana" w:hAnsi="Verdana"/>
          <w:color w:val="auto"/>
          <w:szCs w:val="24"/>
        </w:rPr>
        <w:t>4</w:t>
      </w:r>
      <w:r w:rsidRPr="00BA12DC">
        <w:rPr>
          <w:rFonts w:ascii="Verdana" w:hAnsi="Verdana"/>
          <w:color w:val="auto"/>
          <w:szCs w:val="24"/>
        </w:rPr>
        <w:t xml:space="preserve"> (c) </w:t>
      </w:r>
      <w:r w:rsidR="00BA12DC" w:rsidRPr="00BA12DC">
        <w:rPr>
          <w:rFonts w:ascii="Verdana" w:hAnsi="Verdana"/>
          <w:color w:val="auto"/>
          <w:szCs w:val="24"/>
        </w:rPr>
        <w:t>No accessory building in any Residential Zone shall: where the building area exceeds 10 m</w:t>
      </w:r>
      <w:r w:rsidR="00BA12DC" w:rsidRPr="00BA12DC">
        <w:rPr>
          <w:rFonts w:ascii="Verdana" w:hAnsi="Verdana"/>
          <w:color w:val="auto"/>
          <w:szCs w:val="24"/>
          <w:vertAlign w:val="superscript"/>
        </w:rPr>
        <w:t>2</w:t>
      </w:r>
      <w:r w:rsidR="00BA12DC" w:rsidRPr="00BA12DC">
        <w:rPr>
          <w:rFonts w:ascii="Verdana" w:hAnsi="Verdana"/>
          <w:color w:val="auto"/>
          <w:szCs w:val="24"/>
        </w:rPr>
        <w:t xml:space="preserve"> have an exterior of corrugated metal, other than a roof be </w:t>
      </w:r>
      <w:r w:rsidR="00BF4BE3">
        <w:rPr>
          <w:rFonts w:ascii="Verdana" w:hAnsi="Verdana"/>
          <w:color w:val="auto"/>
          <w:szCs w:val="24"/>
        </w:rPr>
        <w:t>deleted</w:t>
      </w:r>
      <w:r w:rsidR="00BA12DC" w:rsidRPr="00BA12DC">
        <w:rPr>
          <w:rFonts w:ascii="Verdana" w:hAnsi="Verdana"/>
          <w:color w:val="auto"/>
          <w:szCs w:val="24"/>
        </w:rPr>
        <w:t>.</w:t>
      </w:r>
    </w:p>
    <w:p w14:paraId="7A0648E8" w14:textId="77777777" w:rsidR="00EC159A" w:rsidRPr="006C7217" w:rsidRDefault="00EC159A" w:rsidP="00EC159A">
      <w:pPr>
        <w:ind w:left="426"/>
        <w:jc w:val="both"/>
        <w:rPr>
          <w:rFonts w:ascii="Verdana" w:hAnsi="Verdana"/>
          <w:szCs w:val="24"/>
        </w:rPr>
      </w:pPr>
    </w:p>
    <w:p w14:paraId="5E27D6C1" w14:textId="798717D9" w:rsidR="00EC159A" w:rsidRPr="00BF4BE3" w:rsidRDefault="00EC159A" w:rsidP="00EC159A">
      <w:pPr>
        <w:numPr>
          <w:ilvl w:val="0"/>
          <w:numId w:val="6"/>
        </w:numPr>
        <w:tabs>
          <w:tab w:val="num" w:pos="426"/>
        </w:tabs>
        <w:ind w:left="426"/>
        <w:jc w:val="both"/>
        <w:rPr>
          <w:rFonts w:ascii="Verdana" w:hAnsi="Verdana"/>
          <w:color w:val="auto"/>
          <w:szCs w:val="24"/>
        </w:rPr>
      </w:pPr>
      <w:r w:rsidRPr="00602137">
        <w:rPr>
          <w:rFonts w:ascii="Verdana" w:hAnsi="Verdana"/>
          <w:color w:val="auto"/>
          <w:szCs w:val="24"/>
        </w:rPr>
        <w:t>Subsection 4.</w:t>
      </w:r>
      <w:r w:rsidR="00BF4BE3" w:rsidRPr="00602137">
        <w:rPr>
          <w:rFonts w:ascii="Verdana" w:hAnsi="Verdana"/>
          <w:color w:val="auto"/>
          <w:szCs w:val="24"/>
        </w:rPr>
        <w:t>1.6</w:t>
      </w:r>
      <w:r w:rsidRPr="00602137">
        <w:rPr>
          <w:rFonts w:ascii="Verdana" w:hAnsi="Verdana"/>
          <w:color w:val="auto"/>
          <w:szCs w:val="24"/>
        </w:rPr>
        <w:t xml:space="preserve"> </w:t>
      </w:r>
      <w:r w:rsidR="00BF4BE3" w:rsidRPr="00602137">
        <w:rPr>
          <w:rFonts w:ascii="Verdana" w:hAnsi="Verdana"/>
          <w:color w:val="auto"/>
          <w:szCs w:val="24"/>
        </w:rPr>
        <w:t>paragraph 3 which states ”Notwithstanding the above provisions of Section 4.1.6, the gross floor area of any detached accessory building or structure</w:t>
      </w:r>
      <w:r w:rsidR="00BF4BE3" w:rsidRPr="00BF4BE3">
        <w:rPr>
          <w:rFonts w:ascii="Verdana" w:hAnsi="Verdana"/>
          <w:color w:val="auto"/>
          <w:szCs w:val="24"/>
        </w:rPr>
        <w:t xml:space="preserve"> shall not exceed the gross floor area of the existing dwelling on the lot” </w:t>
      </w:r>
      <w:r w:rsidRPr="00BF4BE3">
        <w:rPr>
          <w:rFonts w:ascii="Verdana" w:hAnsi="Verdana"/>
          <w:color w:val="auto"/>
          <w:szCs w:val="24"/>
        </w:rPr>
        <w:t>be deleted</w:t>
      </w:r>
      <w:r w:rsidR="005919B0">
        <w:rPr>
          <w:rFonts w:ascii="Verdana" w:hAnsi="Verdana"/>
          <w:color w:val="auto"/>
          <w:szCs w:val="24"/>
        </w:rPr>
        <w:t xml:space="preserve">, and Sections 4.1.7 to 4.1.13 be renumbered accordingly. </w:t>
      </w:r>
    </w:p>
    <w:p w14:paraId="3966884D" w14:textId="77777777" w:rsidR="00EC159A" w:rsidRPr="006C7217" w:rsidRDefault="00EC159A" w:rsidP="00EC159A">
      <w:pPr>
        <w:pStyle w:val="ListParagraph"/>
        <w:jc w:val="both"/>
        <w:rPr>
          <w:rFonts w:ascii="Verdana" w:hAnsi="Verdana" w:cs="Arial"/>
          <w:szCs w:val="24"/>
          <w:lang w:val="en-GB"/>
        </w:rPr>
      </w:pPr>
    </w:p>
    <w:p w14:paraId="2D87B1D0" w14:textId="1AA8F1DF" w:rsidR="00EC159A" w:rsidRPr="005B0B83" w:rsidRDefault="00EC159A" w:rsidP="00EC159A">
      <w:pPr>
        <w:numPr>
          <w:ilvl w:val="0"/>
          <w:numId w:val="6"/>
        </w:numPr>
        <w:tabs>
          <w:tab w:val="num" w:pos="426"/>
        </w:tabs>
        <w:ind w:left="426"/>
        <w:jc w:val="both"/>
        <w:rPr>
          <w:rFonts w:ascii="Verdana" w:hAnsi="Verdana"/>
          <w:color w:val="auto"/>
          <w:szCs w:val="24"/>
        </w:rPr>
      </w:pPr>
      <w:bookmarkStart w:id="1" w:name="_Hlk157674501"/>
      <w:r w:rsidRPr="005B0B83">
        <w:rPr>
          <w:rFonts w:ascii="Verdana" w:hAnsi="Verdana" w:cs="Arial"/>
          <w:color w:val="auto"/>
          <w:szCs w:val="24"/>
          <w:lang w:val="en-GB"/>
        </w:rPr>
        <w:t>Subsection</w:t>
      </w:r>
      <w:r w:rsidRPr="005B0B83">
        <w:rPr>
          <w:rFonts w:ascii="Verdana" w:hAnsi="Verdana"/>
          <w:color w:val="auto"/>
          <w:szCs w:val="24"/>
        </w:rPr>
        <w:t xml:space="preserve"> 4.</w:t>
      </w:r>
      <w:r w:rsidR="005B0B83" w:rsidRPr="005B0B83">
        <w:rPr>
          <w:rFonts w:ascii="Verdana" w:hAnsi="Verdana"/>
          <w:color w:val="auto"/>
          <w:szCs w:val="24"/>
        </w:rPr>
        <w:t>1.7</w:t>
      </w:r>
      <w:r w:rsidRPr="005B0B83">
        <w:rPr>
          <w:rFonts w:ascii="Verdana" w:hAnsi="Verdana"/>
          <w:color w:val="auto"/>
          <w:szCs w:val="24"/>
        </w:rPr>
        <w:t xml:space="preserve"> </w:t>
      </w:r>
      <w:r w:rsidR="005B0B83">
        <w:rPr>
          <w:rFonts w:ascii="Verdana" w:hAnsi="Verdana"/>
          <w:color w:val="auto"/>
          <w:szCs w:val="24"/>
        </w:rPr>
        <w:t>“</w:t>
      </w:r>
      <w:r w:rsidR="005B0B83" w:rsidRPr="005B0B83">
        <w:rPr>
          <w:rFonts w:ascii="Verdana" w:hAnsi="Verdana"/>
          <w:color w:val="auto"/>
          <w:szCs w:val="24"/>
        </w:rPr>
        <w:t>In the Village Residential “R1” Zone, the Village Residential “R2” Zone, the Village Residential – Special “R2-S” Zone, Residential Estate “RE” Zone, the Shoreline Residential “SR” Zone and the Limited Service Residential “LSR” Zone, a maximum of two detached accessory buildings shall be permitted. Accessory buildings which are less than 10m</w:t>
      </w:r>
      <w:r w:rsidR="005B0B83" w:rsidRPr="005B0B83">
        <w:rPr>
          <w:rFonts w:ascii="Verdana" w:hAnsi="Verdana"/>
          <w:color w:val="auto"/>
          <w:szCs w:val="24"/>
          <w:vertAlign w:val="superscript"/>
        </w:rPr>
        <w:t>2</w:t>
      </w:r>
      <w:r w:rsidR="005B0B83" w:rsidRPr="005B0B83">
        <w:rPr>
          <w:rFonts w:ascii="Verdana" w:hAnsi="Verdana"/>
          <w:color w:val="auto"/>
          <w:szCs w:val="24"/>
        </w:rPr>
        <w:t xml:space="preserve"> in floor area shall not be included as part of this section 4.1.8 of the Zoning By-law</w:t>
      </w:r>
      <w:r w:rsidR="00C06B64">
        <w:rPr>
          <w:rFonts w:ascii="Verdana" w:hAnsi="Verdana"/>
          <w:color w:val="auto"/>
          <w:szCs w:val="24"/>
        </w:rPr>
        <w:t>”</w:t>
      </w:r>
      <w:r w:rsidR="005B0B83" w:rsidRPr="005B0B83">
        <w:rPr>
          <w:rFonts w:ascii="Verdana" w:hAnsi="Verdana"/>
          <w:color w:val="auto"/>
          <w:szCs w:val="24"/>
        </w:rPr>
        <w:t xml:space="preserve"> </w:t>
      </w:r>
      <w:r w:rsidRPr="005B0B83">
        <w:rPr>
          <w:rFonts w:ascii="Verdana" w:hAnsi="Verdana"/>
          <w:color w:val="auto"/>
          <w:szCs w:val="24"/>
        </w:rPr>
        <w:t>be amended to replace “</w:t>
      </w:r>
      <w:r w:rsidR="005B0B83" w:rsidRPr="005B0B83">
        <w:rPr>
          <w:rFonts w:ascii="Verdana" w:hAnsi="Verdana"/>
          <w:color w:val="auto"/>
          <w:szCs w:val="24"/>
        </w:rPr>
        <w:t>10m</w:t>
      </w:r>
      <w:r w:rsidR="005B0B83" w:rsidRPr="005B0B83">
        <w:rPr>
          <w:rFonts w:ascii="Verdana" w:hAnsi="Verdana"/>
          <w:color w:val="auto"/>
          <w:szCs w:val="24"/>
          <w:vertAlign w:val="superscript"/>
        </w:rPr>
        <w:t>2</w:t>
      </w:r>
      <w:r w:rsidRPr="005B0B83">
        <w:rPr>
          <w:rFonts w:ascii="Verdana" w:hAnsi="Verdana"/>
          <w:color w:val="auto"/>
          <w:szCs w:val="24"/>
        </w:rPr>
        <w:t>” with “</w:t>
      </w:r>
      <w:r w:rsidR="005B0B83" w:rsidRPr="005B0B83">
        <w:rPr>
          <w:rFonts w:ascii="Verdana" w:hAnsi="Verdana"/>
          <w:color w:val="auto"/>
          <w:szCs w:val="24"/>
        </w:rPr>
        <w:t>15m</w:t>
      </w:r>
      <w:r w:rsidR="005B0B83" w:rsidRPr="005B0B83">
        <w:rPr>
          <w:rFonts w:ascii="Verdana" w:hAnsi="Verdana"/>
          <w:color w:val="auto"/>
          <w:szCs w:val="24"/>
          <w:vertAlign w:val="superscript"/>
        </w:rPr>
        <w:t>2</w:t>
      </w:r>
      <w:r w:rsidRPr="005B0B83">
        <w:rPr>
          <w:rFonts w:ascii="Verdana" w:hAnsi="Verdana"/>
          <w:color w:val="auto"/>
          <w:szCs w:val="24"/>
        </w:rPr>
        <w:t>.”</w:t>
      </w:r>
    </w:p>
    <w:bookmarkEnd w:id="1"/>
    <w:p w14:paraId="49BD491C" w14:textId="77777777" w:rsidR="00EC159A" w:rsidRPr="006C7217" w:rsidRDefault="00EC159A" w:rsidP="00EC159A">
      <w:pPr>
        <w:pStyle w:val="ListParagraph"/>
        <w:jc w:val="both"/>
        <w:rPr>
          <w:rFonts w:ascii="Verdana" w:hAnsi="Verdana"/>
          <w:szCs w:val="24"/>
        </w:rPr>
      </w:pPr>
    </w:p>
    <w:p w14:paraId="552E768B" w14:textId="64A7C138" w:rsidR="00EC159A" w:rsidRPr="002F0C4C" w:rsidRDefault="00EC159A" w:rsidP="002F0C4C">
      <w:pPr>
        <w:numPr>
          <w:ilvl w:val="0"/>
          <w:numId w:val="6"/>
        </w:numPr>
        <w:tabs>
          <w:tab w:val="num" w:pos="426"/>
        </w:tabs>
        <w:ind w:left="426"/>
        <w:jc w:val="both"/>
        <w:rPr>
          <w:rFonts w:ascii="Verdana" w:hAnsi="Verdana"/>
          <w:i/>
          <w:iCs/>
          <w:color w:val="auto"/>
          <w:szCs w:val="24"/>
        </w:rPr>
      </w:pPr>
      <w:r w:rsidRPr="002F0C4C">
        <w:rPr>
          <w:rFonts w:ascii="Verdana" w:hAnsi="Verdana"/>
          <w:color w:val="auto"/>
          <w:szCs w:val="24"/>
        </w:rPr>
        <w:t>Subsection 4.</w:t>
      </w:r>
      <w:r w:rsidR="002F0C4C" w:rsidRPr="002F0C4C">
        <w:rPr>
          <w:rFonts w:ascii="Verdana" w:hAnsi="Verdana"/>
          <w:color w:val="auto"/>
          <w:szCs w:val="24"/>
        </w:rPr>
        <w:t>1.8 (c)</w:t>
      </w:r>
      <w:r w:rsidRPr="002F0C4C">
        <w:rPr>
          <w:rFonts w:ascii="Verdana" w:hAnsi="Verdana"/>
          <w:color w:val="auto"/>
          <w:szCs w:val="24"/>
        </w:rPr>
        <w:t xml:space="preserve"> “</w:t>
      </w:r>
      <w:r w:rsidR="002F0C4C" w:rsidRPr="002F0C4C">
        <w:rPr>
          <w:rFonts w:ascii="Verdana" w:hAnsi="Verdana"/>
          <w:color w:val="auto"/>
          <w:szCs w:val="24"/>
        </w:rPr>
        <w:t>For those lands in the R1, R2, R3, SR, RMH, D and LSR Zones, a detached private garage or other accessory building/structure may be erected and used in an interior side and/or rear yard provided that it shall be no closer than two (2) metre to the interior side or rear yard lot line. An attached private garage in the above zones, may be erected and used in an interior side and/or rear yard provided that it shall be no closer than one (1) metre to the interior side or rear yard lot line shall except where a mutual garage is erected on the common lot line between two lots, in which case no interior side yard is required. In the case of an attached private garage, it shall be no closer than one (1) metre to the interior side or rear yard lot line</w:t>
      </w:r>
      <w:r w:rsidRPr="002F0C4C">
        <w:rPr>
          <w:rFonts w:ascii="Verdana" w:hAnsi="Verdana"/>
          <w:i/>
          <w:iCs/>
          <w:color w:val="auto"/>
          <w:szCs w:val="24"/>
        </w:rPr>
        <w:t>”</w:t>
      </w:r>
      <w:r w:rsidR="002F0C4C" w:rsidRPr="002F0C4C">
        <w:rPr>
          <w:rFonts w:ascii="Verdana" w:hAnsi="Verdana"/>
          <w:i/>
          <w:iCs/>
          <w:color w:val="auto"/>
          <w:szCs w:val="24"/>
        </w:rPr>
        <w:t xml:space="preserve"> </w:t>
      </w:r>
      <w:r w:rsidR="002F0C4C" w:rsidRPr="007E503B">
        <w:rPr>
          <w:rFonts w:ascii="Verdana" w:hAnsi="Verdana"/>
          <w:color w:val="auto"/>
          <w:szCs w:val="24"/>
        </w:rPr>
        <w:t>be amended which requires the removal the portion that says</w:t>
      </w:r>
      <w:r w:rsidR="002F0C4C" w:rsidRPr="002F0C4C">
        <w:rPr>
          <w:rFonts w:ascii="Verdana" w:hAnsi="Verdana"/>
          <w:i/>
          <w:iCs/>
          <w:color w:val="auto"/>
          <w:szCs w:val="24"/>
        </w:rPr>
        <w:t xml:space="preserve"> </w:t>
      </w:r>
      <w:r w:rsidR="002F0C4C" w:rsidRPr="007E503B">
        <w:rPr>
          <w:rFonts w:ascii="Verdana" w:hAnsi="Verdana"/>
          <w:color w:val="auto"/>
          <w:szCs w:val="24"/>
        </w:rPr>
        <w:t>“An attached private garage in the above zones, may be erected and used in an interior side and/or rear yard provided that it shall be no closer than one (1) metre to the interior side or rear yard lot line shall except where a mutual garage is erected on the common lot line between two lots, in which case no interior side yard is required. In the case of an attached private garage, it shall be no closer than one (1) metre to the interior side or rear yard lot line”.</w:t>
      </w:r>
    </w:p>
    <w:p w14:paraId="728693E6" w14:textId="77777777" w:rsidR="00EC159A" w:rsidRPr="006C7217" w:rsidRDefault="00EC159A" w:rsidP="00EC159A">
      <w:pPr>
        <w:pStyle w:val="ListParagraph"/>
        <w:ind w:left="502"/>
        <w:jc w:val="both"/>
        <w:rPr>
          <w:rFonts w:ascii="Verdana" w:hAnsi="Verdana"/>
          <w:i/>
          <w:iCs/>
          <w:szCs w:val="24"/>
        </w:rPr>
      </w:pPr>
    </w:p>
    <w:p w14:paraId="2FE4E3DA" w14:textId="511BA5A7" w:rsidR="00EC159A" w:rsidRPr="00410704" w:rsidRDefault="00EC159A" w:rsidP="00EC159A">
      <w:pPr>
        <w:pStyle w:val="ListParagraph"/>
        <w:numPr>
          <w:ilvl w:val="0"/>
          <w:numId w:val="6"/>
        </w:numPr>
        <w:contextualSpacing w:val="0"/>
        <w:jc w:val="both"/>
        <w:rPr>
          <w:rFonts w:ascii="Verdana" w:hAnsi="Verdana"/>
          <w:i/>
          <w:iCs/>
          <w:color w:val="auto"/>
          <w:szCs w:val="24"/>
        </w:rPr>
      </w:pPr>
      <w:bookmarkStart w:id="2" w:name="_Hlk157674798"/>
      <w:r w:rsidRPr="00410704">
        <w:rPr>
          <w:rFonts w:ascii="Verdana" w:hAnsi="Verdana"/>
          <w:color w:val="auto"/>
          <w:szCs w:val="24"/>
        </w:rPr>
        <w:t>Subsection 4.</w:t>
      </w:r>
      <w:r w:rsidR="00410704" w:rsidRPr="00410704">
        <w:rPr>
          <w:rFonts w:ascii="Verdana" w:hAnsi="Verdana"/>
          <w:color w:val="auto"/>
          <w:szCs w:val="24"/>
        </w:rPr>
        <w:t xml:space="preserve">1.9 </w:t>
      </w:r>
      <w:r w:rsidRPr="00410704">
        <w:rPr>
          <w:rFonts w:ascii="Verdana" w:hAnsi="Verdana"/>
          <w:color w:val="auto"/>
          <w:szCs w:val="24"/>
        </w:rPr>
        <w:t xml:space="preserve"> “</w:t>
      </w:r>
      <w:r w:rsidR="00410704" w:rsidRPr="00410704">
        <w:rPr>
          <w:rFonts w:ascii="Verdana" w:hAnsi="Verdana"/>
          <w:color w:val="auto"/>
          <w:szCs w:val="24"/>
        </w:rPr>
        <w:t>Detached Accessory Building and Structures less than 10m</w:t>
      </w:r>
      <w:r w:rsidR="00410704" w:rsidRPr="00410704">
        <w:rPr>
          <w:rFonts w:ascii="Verdana" w:hAnsi="Verdana"/>
          <w:color w:val="auto"/>
          <w:szCs w:val="24"/>
          <w:vertAlign w:val="superscript"/>
        </w:rPr>
        <w:t>2</w:t>
      </w:r>
      <w:r w:rsidRPr="00410704">
        <w:rPr>
          <w:rFonts w:ascii="Verdana" w:hAnsi="Verdana"/>
          <w:color w:val="auto"/>
          <w:szCs w:val="24"/>
        </w:rPr>
        <w:t xml:space="preserve">” be amended by </w:t>
      </w:r>
      <w:r w:rsidR="00410704" w:rsidRPr="00410704">
        <w:rPr>
          <w:rFonts w:ascii="Verdana" w:hAnsi="Verdana"/>
          <w:color w:val="auto"/>
          <w:szCs w:val="24"/>
        </w:rPr>
        <w:t>changing any reference of 10m</w:t>
      </w:r>
      <w:r w:rsidR="00410704" w:rsidRPr="00410704">
        <w:rPr>
          <w:rFonts w:ascii="Verdana" w:hAnsi="Verdana"/>
          <w:color w:val="auto"/>
          <w:szCs w:val="24"/>
          <w:vertAlign w:val="superscript"/>
        </w:rPr>
        <w:t>2</w:t>
      </w:r>
      <w:r w:rsidR="00410704" w:rsidRPr="00410704">
        <w:rPr>
          <w:rFonts w:ascii="Verdana" w:hAnsi="Verdana"/>
          <w:color w:val="auto"/>
          <w:szCs w:val="24"/>
        </w:rPr>
        <w:t xml:space="preserve"> to 15 m</w:t>
      </w:r>
      <w:r w:rsidR="00410704" w:rsidRPr="00410704">
        <w:rPr>
          <w:rFonts w:ascii="Verdana" w:hAnsi="Verdana"/>
          <w:color w:val="auto"/>
          <w:szCs w:val="24"/>
          <w:vertAlign w:val="superscript"/>
        </w:rPr>
        <w:t>2</w:t>
      </w:r>
      <w:r w:rsidR="00410704" w:rsidRPr="00410704">
        <w:rPr>
          <w:rFonts w:ascii="Verdana" w:hAnsi="Verdana"/>
          <w:color w:val="auto"/>
          <w:szCs w:val="24"/>
        </w:rPr>
        <w:t>.</w:t>
      </w:r>
      <w:r w:rsidRPr="00410704">
        <w:rPr>
          <w:rFonts w:ascii="Verdana" w:hAnsi="Verdana"/>
          <w:i/>
          <w:iCs/>
          <w:color w:val="auto"/>
          <w:szCs w:val="24"/>
        </w:rPr>
        <w:t xml:space="preserve"> </w:t>
      </w:r>
    </w:p>
    <w:bookmarkEnd w:id="2"/>
    <w:p w14:paraId="7B06016D" w14:textId="77777777" w:rsidR="00EC159A" w:rsidRPr="006C7217" w:rsidRDefault="00EC159A" w:rsidP="00EC159A">
      <w:pPr>
        <w:ind w:left="502"/>
        <w:jc w:val="both"/>
        <w:rPr>
          <w:rFonts w:ascii="Verdana" w:hAnsi="Verdana"/>
          <w:szCs w:val="24"/>
        </w:rPr>
      </w:pPr>
    </w:p>
    <w:p w14:paraId="3071ADA2" w14:textId="48DB7EB3" w:rsidR="00EC159A" w:rsidRDefault="00EC159A" w:rsidP="00303D00">
      <w:pPr>
        <w:pStyle w:val="Heading2"/>
        <w:numPr>
          <w:ilvl w:val="0"/>
          <w:numId w:val="6"/>
        </w:numPr>
        <w:jc w:val="both"/>
        <w:rPr>
          <w:rFonts w:ascii="Verdana" w:hAnsi="Verdana" w:cs="Arial"/>
          <w:color w:val="auto"/>
          <w:szCs w:val="24"/>
          <w:lang w:val="en-CA" w:eastAsia="en-CA"/>
        </w:rPr>
      </w:pPr>
      <w:bookmarkStart w:id="3" w:name="_Hlk157674310"/>
      <w:r w:rsidRPr="002D07C4">
        <w:rPr>
          <w:rFonts w:ascii="Verdana" w:hAnsi="Verdana" w:cs="Arial"/>
          <w:b w:val="0"/>
          <w:color w:val="auto"/>
          <w:szCs w:val="24"/>
          <w:lang w:val="en-CA" w:eastAsia="en-CA"/>
        </w:rPr>
        <w:t xml:space="preserve">Subsection </w:t>
      </w:r>
      <w:r w:rsidR="002D07C4" w:rsidRPr="002D07C4">
        <w:rPr>
          <w:rFonts w:ascii="Verdana" w:hAnsi="Verdana" w:cs="Arial"/>
          <w:b w:val="0"/>
          <w:color w:val="auto"/>
          <w:szCs w:val="24"/>
          <w:lang w:val="en-CA" w:eastAsia="en-CA"/>
        </w:rPr>
        <w:t>4.1.10</w:t>
      </w:r>
      <w:r w:rsidRPr="002D07C4">
        <w:rPr>
          <w:rFonts w:ascii="Verdana" w:hAnsi="Verdana" w:cs="Arial"/>
          <w:b w:val="0"/>
          <w:color w:val="auto"/>
          <w:szCs w:val="24"/>
          <w:lang w:val="en-CA" w:eastAsia="en-CA"/>
        </w:rPr>
        <w:t xml:space="preserve"> </w:t>
      </w:r>
      <w:r w:rsidR="002D07C4" w:rsidRPr="002D07C4">
        <w:rPr>
          <w:rFonts w:ascii="Verdana" w:hAnsi="Verdana" w:cs="Arial"/>
          <w:b w:val="0"/>
          <w:color w:val="auto"/>
          <w:szCs w:val="24"/>
          <w:lang w:eastAsia="en-CA"/>
        </w:rPr>
        <w:t>Boat Houses, Pump Houses, and Boat Docks</w:t>
      </w:r>
      <w:r w:rsidR="00322703" w:rsidRPr="002D07C4">
        <w:rPr>
          <w:rFonts w:ascii="Verdana" w:hAnsi="Verdana" w:cs="Arial"/>
          <w:b w:val="0"/>
          <w:color w:val="auto"/>
          <w:szCs w:val="24"/>
          <w:lang w:eastAsia="en-CA"/>
        </w:rPr>
        <w:t xml:space="preserve">. </w:t>
      </w:r>
      <w:r w:rsidR="002D07C4" w:rsidRPr="002D07C4">
        <w:rPr>
          <w:rFonts w:ascii="Verdana" w:hAnsi="Verdana" w:cs="Arial"/>
          <w:b w:val="0"/>
          <w:color w:val="auto"/>
          <w:szCs w:val="24"/>
          <w:lang w:eastAsia="en-CA"/>
        </w:rPr>
        <w:t>“Boat houses, pump houses, and boat docks are permitted in any yard of a waterfront lot except the front yard, provided they are located no closer than 1.0 metre setback from the interior side lot line and 3.0 metres from the flankage lot line” be amended by changing 1.0 metre setback to 4.0 metres.</w:t>
      </w:r>
      <w:r w:rsidR="002D07C4" w:rsidRPr="002D07C4">
        <w:rPr>
          <w:rFonts w:ascii="Verdana" w:hAnsi="Verdana" w:cs="Arial"/>
          <w:color w:val="auto"/>
          <w:szCs w:val="24"/>
          <w:lang w:val="en-CA" w:eastAsia="en-CA"/>
        </w:rPr>
        <w:t xml:space="preserve"> </w:t>
      </w:r>
    </w:p>
    <w:bookmarkEnd w:id="3"/>
    <w:p w14:paraId="5FFA539F" w14:textId="77777777" w:rsidR="00AF23CA" w:rsidRDefault="00AF23CA" w:rsidP="00303D00">
      <w:pPr>
        <w:jc w:val="both"/>
        <w:rPr>
          <w:lang w:val="en-CA" w:eastAsia="en-CA"/>
        </w:rPr>
      </w:pPr>
    </w:p>
    <w:p w14:paraId="689D66EB" w14:textId="3AB5455D" w:rsidR="0019355B" w:rsidRDefault="00804E54" w:rsidP="00303D00">
      <w:pPr>
        <w:pStyle w:val="ListParagraph"/>
        <w:numPr>
          <w:ilvl w:val="0"/>
          <w:numId w:val="6"/>
        </w:numPr>
        <w:jc w:val="both"/>
        <w:rPr>
          <w:rFonts w:ascii="Verdana" w:hAnsi="Verdana"/>
          <w:color w:val="auto"/>
          <w:lang w:eastAsia="en-CA"/>
        </w:rPr>
      </w:pPr>
      <w:r>
        <w:rPr>
          <w:rFonts w:ascii="Verdana" w:hAnsi="Verdana"/>
          <w:color w:val="auto"/>
          <w:lang w:eastAsia="en-CA"/>
        </w:rPr>
        <w:t xml:space="preserve">Add new </w:t>
      </w:r>
      <w:r w:rsidR="0019355B">
        <w:rPr>
          <w:rFonts w:ascii="Verdana" w:hAnsi="Verdana"/>
          <w:color w:val="auto"/>
          <w:lang w:eastAsia="en-CA"/>
        </w:rPr>
        <w:t xml:space="preserve">Subsection </w:t>
      </w:r>
      <w:r w:rsidR="0019355B" w:rsidRPr="0019355B">
        <w:rPr>
          <w:rFonts w:ascii="Verdana" w:hAnsi="Verdana"/>
          <w:color w:val="auto"/>
          <w:lang w:eastAsia="en-CA"/>
        </w:rPr>
        <w:t>4.2</w:t>
      </w:r>
      <w:r w:rsidR="0019355B">
        <w:rPr>
          <w:rFonts w:ascii="Verdana" w:hAnsi="Verdana"/>
          <w:color w:val="auto"/>
          <w:lang w:eastAsia="en-CA"/>
        </w:rPr>
        <w:t>.1</w:t>
      </w:r>
      <w:r w:rsidR="0019355B" w:rsidRPr="0019355B">
        <w:rPr>
          <w:rFonts w:ascii="Verdana" w:hAnsi="Verdana"/>
          <w:color w:val="auto"/>
          <w:lang w:eastAsia="en-CA"/>
        </w:rPr>
        <w:t xml:space="preserve"> </w:t>
      </w:r>
      <w:r w:rsidR="0019355B">
        <w:rPr>
          <w:rFonts w:ascii="Verdana" w:hAnsi="Verdana"/>
          <w:color w:val="auto"/>
          <w:lang w:eastAsia="en-CA"/>
        </w:rPr>
        <w:t xml:space="preserve">(j) A detached Accessory Dwelling Unit </w:t>
      </w:r>
      <w:r w:rsidR="0019355B" w:rsidRPr="0019355B">
        <w:rPr>
          <w:rFonts w:ascii="Verdana" w:hAnsi="Verdana"/>
          <w:color w:val="auto"/>
          <w:lang w:eastAsia="en-CA"/>
        </w:rPr>
        <w:t xml:space="preserve">must comply with the </w:t>
      </w:r>
      <w:r w:rsidR="0019355B">
        <w:rPr>
          <w:rFonts w:ascii="Verdana" w:hAnsi="Verdana"/>
          <w:color w:val="auto"/>
          <w:lang w:eastAsia="en-CA"/>
        </w:rPr>
        <w:t>following yard requirements</w:t>
      </w:r>
      <w:r w:rsidR="0019355B" w:rsidRPr="0019355B">
        <w:t xml:space="preserve"> </w:t>
      </w:r>
      <w:r w:rsidR="0019355B" w:rsidRPr="0019355B">
        <w:rPr>
          <w:rFonts w:ascii="Verdana" w:hAnsi="Verdana"/>
          <w:color w:val="auto"/>
        </w:rPr>
        <w:t>in the</w:t>
      </w:r>
      <w:r w:rsidR="0019355B" w:rsidRPr="0019355B">
        <w:rPr>
          <w:color w:val="auto"/>
        </w:rPr>
        <w:t xml:space="preserve"> </w:t>
      </w:r>
      <w:r w:rsidR="0019355B" w:rsidRPr="0019355B">
        <w:rPr>
          <w:rFonts w:ascii="Verdana" w:hAnsi="Verdana"/>
          <w:color w:val="auto"/>
          <w:lang w:eastAsia="en-CA"/>
        </w:rPr>
        <w:t>R1, R2, SR, A, RU, &amp; LSR Zones</w:t>
      </w:r>
      <w:r w:rsidR="0019355B">
        <w:rPr>
          <w:rFonts w:ascii="Verdana" w:hAnsi="Verdana"/>
          <w:color w:val="auto"/>
          <w:lang w:eastAsia="en-CA"/>
        </w:rPr>
        <w:t xml:space="preserve"> :</w:t>
      </w:r>
    </w:p>
    <w:p w14:paraId="55038155" w14:textId="77777777" w:rsidR="0019355B" w:rsidRPr="0019355B" w:rsidRDefault="0019355B" w:rsidP="0019355B">
      <w:pPr>
        <w:pStyle w:val="ListParagraph"/>
        <w:rPr>
          <w:rFonts w:ascii="Verdana" w:hAnsi="Verdana"/>
          <w:color w:val="auto"/>
          <w:lang w:eastAsia="en-CA"/>
        </w:rPr>
      </w:pPr>
      <w:r w:rsidRPr="0019355B">
        <w:rPr>
          <w:rFonts w:ascii="Verdana" w:hAnsi="Verdana"/>
          <w:color w:val="auto"/>
          <w:lang w:eastAsia="en-CA"/>
        </w:rPr>
        <w:t>Minimum Front yard setback 8 m</w:t>
      </w:r>
    </w:p>
    <w:p w14:paraId="0285773E" w14:textId="77777777" w:rsidR="0019355B" w:rsidRPr="0019355B" w:rsidRDefault="0019355B" w:rsidP="0019355B">
      <w:pPr>
        <w:pStyle w:val="ListParagraph"/>
        <w:rPr>
          <w:rFonts w:ascii="Verdana" w:hAnsi="Verdana"/>
          <w:color w:val="auto"/>
          <w:lang w:eastAsia="en-CA"/>
        </w:rPr>
      </w:pPr>
      <w:r w:rsidRPr="0019355B">
        <w:rPr>
          <w:rFonts w:ascii="Verdana" w:hAnsi="Verdana"/>
          <w:color w:val="auto"/>
          <w:lang w:eastAsia="en-CA"/>
        </w:rPr>
        <w:t>Minimum Interior Side Yard 2 m</w:t>
      </w:r>
    </w:p>
    <w:p w14:paraId="553C4570" w14:textId="77777777" w:rsidR="0019355B" w:rsidRPr="0019355B" w:rsidRDefault="0019355B" w:rsidP="0019355B">
      <w:pPr>
        <w:pStyle w:val="ListParagraph"/>
        <w:rPr>
          <w:rFonts w:ascii="Verdana" w:hAnsi="Verdana"/>
          <w:color w:val="auto"/>
          <w:lang w:eastAsia="en-CA"/>
        </w:rPr>
      </w:pPr>
      <w:r w:rsidRPr="0019355B">
        <w:rPr>
          <w:rFonts w:ascii="Verdana" w:hAnsi="Verdana"/>
          <w:color w:val="auto"/>
          <w:lang w:eastAsia="en-CA"/>
        </w:rPr>
        <w:t>Minimum Exterior Side Yard 4.5 m</w:t>
      </w:r>
    </w:p>
    <w:p w14:paraId="79823995" w14:textId="0440B136" w:rsidR="0019355B" w:rsidRPr="0019355B" w:rsidRDefault="0019355B" w:rsidP="0019355B">
      <w:pPr>
        <w:pStyle w:val="ListParagraph"/>
        <w:rPr>
          <w:rFonts w:ascii="Verdana" w:hAnsi="Verdana"/>
          <w:color w:val="auto"/>
          <w:lang w:eastAsia="en-CA"/>
        </w:rPr>
      </w:pPr>
      <w:r w:rsidRPr="0019355B">
        <w:rPr>
          <w:rFonts w:ascii="Verdana" w:hAnsi="Verdana"/>
          <w:color w:val="auto"/>
          <w:lang w:eastAsia="en-CA"/>
        </w:rPr>
        <w:t>Minimum Rear Yard Setback 2 m.</w:t>
      </w:r>
    </w:p>
    <w:p w14:paraId="3CC693B3" w14:textId="77777777" w:rsidR="0019355B" w:rsidRPr="0019355B" w:rsidRDefault="0019355B" w:rsidP="0019355B">
      <w:pPr>
        <w:pStyle w:val="ListParagraph"/>
        <w:rPr>
          <w:rFonts w:ascii="Verdana" w:hAnsi="Verdana"/>
          <w:color w:val="auto"/>
          <w:lang w:val="en-CA" w:eastAsia="en-CA"/>
        </w:rPr>
      </w:pPr>
    </w:p>
    <w:p w14:paraId="1F9E3F64" w14:textId="2B65F3ED" w:rsidR="0019355B" w:rsidRPr="0019355B" w:rsidRDefault="00804E54" w:rsidP="00303D00">
      <w:pPr>
        <w:pStyle w:val="ListParagraph"/>
        <w:numPr>
          <w:ilvl w:val="0"/>
          <w:numId w:val="6"/>
        </w:numPr>
        <w:jc w:val="both"/>
        <w:rPr>
          <w:rFonts w:ascii="Verdana" w:hAnsi="Verdana"/>
          <w:color w:val="auto"/>
          <w:lang w:eastAsia="en-CA"/>
        </w:rPr>
      </w:pPr>
      <w:r>
        <w:rPr>
          <w:rFonts w:ascii="Verdana" w:hAnsi="Verdana"/>
          <w:color w:val="auto"/>
          <w:lang w:eastAsia="en-CA"/>
        </w:rPr>
        <w:t xml:space="preserve">Amend Subsection 4.2.1(i) by removing the wording </w:t>
      </w:r>
      <w:r w:rsidRPr="00804E54">
        <w:rPr>
          <w:rFonts w:ascii="Verdana" w:hAnsi="Verdana"/>
          <w:color w:val="auto"/>
          <w:lang w:eastAsia="en-CA"/>
        </w:rPr>
        <w:t>“contained within an accessory structure”</w:t>
      </w:r>
      <w:r>
        <w:rPr>
          <w:rFonts w:ascii="Verdana" w:hAnsi="Verdana"/>
          <w:color w:val="auto"/>
          <w:lang w:eastAsia="en-CA"/>
        </w:rPr>
        <w:t>, to read “</w:t>
      </w:r>
      <w:r w:rsidRPr="00804E54">
        <w:rPr>
          <w:rFonts w:ascii="Verdana" w:hAnsi="Verdana"/>
          <w:color w:val="auto"/>
          <w:lang w:eastAsia="en-CA"/>
        </w:rPr>
        <w:t>A</w:t>
      </w:r>
      <w:r>
        <w:rPr>
          <w:rFonts w:ascii="Verdana" w:hAnsi="Verdana"/>
          <w:color w:val="auto"/>
          <w:lang w:eastAsia="en-CA"/>
        </w:rPr>
        <w:t xml:space="preserve"> detached dwelling unit</w:t>
      </w:r>
      <w:r w:rsidRPr="00804E54">
        <w:rPr>
          <w:rFonts w:ascii="Verdana" w:hAnsi="Verdana"/>
          <w:color w:val="auto"/>
          <w:lang w:eastAsia="en-CA"/>
        </w:rPr>
        <w:t xml:space="preserve"> shall be a permanent structure anchored to a permanent foundation</w:t>
      </w:r>
      <w:r>
        <w:rPr>
          <w:rFonts w:ascii="Verdana" w:hAnsi="Verdana"/>
          <w:color w:val="auto"/>
          <w:lang w:eastAsia="en-CA"/>
        </w:rPr>
        <w:t>”</w:t>
      </w:r>
      <w:r w:rsidRPr="00804E54">
        <w:rPr>
          <w:rFonts w:ascii="Verdana" w:hAnsi="Verdana"/>
          <w:color w:val="auto"/>
          <w:lang w:eastAsia="en-CA"/>
        </w:rPr>
        <w:t>.</w:t>
      </w:r>
    </w:p>
    <w:p w14:paraId="2D8733B7" w14:textId="3BA7636E" w:rsidR="00602137" w:rsidRDefault="00AF23CA" w:rsidP="00303D00">
      <w:pPr>
        <w:pStyle w:val="ListParagraph"/>
        <w:numPr>
          <w:ilvl w:val="0"/>
          <w:numId w:val="6"/>
        </w:numPr>
        <w:jc w:val="both"/>
        <w:rPr>
          <w:rFonts w:ascii="Verdana" w:hAnsi="Verdana"/>
          <w:color w:val="auto"/>
          <w:lang w:eastAsia="en-CA"/>
        </w:rPr>
      </w:pPr>
      <w:r w:rsidRPr="00AF23CA">
        <w:rPr>
          <w:rFonts w:ascii="Verdana" w:hAnsi="Verdana"/>
          <w:color w:val="auto"/>
          <w:lang w:val="en-CA" w:eastAsia="en-CA"/>
        </w:rPr>
        <w:t xml:space="preserve">Subsection </w:t>
      </w:r>
      <w:r w:rsidRPr="00AF23CA">
        <w:rPr>
          <w:rFonts w:ascii="Verdana" w:hAnsi="Verdana"/>
          <w:color w:val="auto"/>
          <w:lang w:eastAsia="en-CA"/>
        </w:rPr>
        <w:t xml:space="preserve">4.5.3 Lots on Islands (d) “Notwithstanding Section 4.5.1, where an existing lot is located on all or part of an island surrounded by navigable water, a building permit may be issued for a building or structure to be erected, </w:t>
      </w:r>
      <w:proofErr w:type="gramStart"/>
      <w:r w:rsidRPr="00AF23CA">
        <w:rPr>
          <w:rFonts w:ascii="Verdana" w:hAnsi="Verdana"/>
          <w:color w:val="auto"/>
          <w:lang w:eastAsia="en-CA"/>
        </w:rPr>
        <w:t>extended</w:t>
      </w:r>
      <w:proofErr w:type="gramEnd"/>
      <w:r w:rsidRPr="00AF23CA">
        <w:rPr>
          <w:rFonts w:ascii="Verdana" w:hAnsi="Verdana"/>
          <w:color w:val="auto"/>
          <w:lang w:eastAsia="en-CA"/>
        </w:rPr>
        <w:t xml:space="preserve"> or enlarged provided:</w:t>
      </w:r>
      <w:r w:rsidRPr="00303D00">
        <w:rPr>
          <w:rFonts w:ascii="Verdana" w:hAnsi="Verdana"/>
          <w:color w:val="auto"/>
          <w:lang w:eastAsia="en-CA"/>
        </w:rPr>
        <w:t>(d) The applicant, at his or her expense, prior to a building permit being issued, enters into an acknowledgement with the municipality. This acknowledgement shall indicate that normal municipal services are not available for the lot in question”, be deleted.</w:t>
      </w:r>
      <w:bookmarkEnd w:id="0"/>
    </w:p>
    <w:p w14:paraId="36D7B797" w14:textId="77777777" w:rsidR="00602137" w:rsidRPr="00602137" w:rsidRDefault="00602137" w:rsidP="00602137">
      <w:pPr>
        <w:pStyle w:val="ListParagraph"/>
        <w:rPr>
          <w:rFonts w:ascii="Verdana" w:hAnsi="Verdana"/>
          <w:color w:val="auto"/>
          <w:lang w:eastAsia="en-CA"/>
        </w:rPr>
      </w:pPr>
    </w:p>
    <w:p w14:paraId="141EDD39" w14:textId="0817B7AD" w:rsidR="00EC159A" w:rsidRDefault="00602137" w:rsidP="00303D00">
      <w:pPr>
        <w:pStyle w:val="ListParagraph"/>
        <w:numPr>
          <w:ilvl w:val="0"/>
          <w:numId w:val="6"/>
        </w:numPr>
        <w:jc w:val="both"/>
        <w:rPr>
          <w:rFonts w:ascii="Verdana" w:hAnsi="Verdana"/>
          <w:color w:val="auto"/>
          <w:lang w:eastAsia="en-CA"/>
        </w:rPr>
      </w:pPr>
      <w:r>
        <w:rPr>
          <w:rFonts w:ascii="Verdana" w:hAnsi="Verdana"/>
          <w:color w:val="auto"/>
          <w:lang w:eastAsia="en-CA"/>
        </w:rPr>
        <w:t xml:space="preserve">Section </w:t>
      </w:r>
      <w:r w:rsidR="00303D00">
        <w:rPr>
          <w:rFonts w:ascii="Verdana" w:hAnsi="Verdana"/>
          <w:color w:val="auto"/>
          <w:lang w:eastAsia="en-CA"/>
        </w:rPr>
        <w:t xml:space="preserve"> </w:t>
      </w:r>
      <w:r w:rsidRPr="00602137">
        <w:rPr>
          <w:rFonts w:ascii="Verdana" w:hAnsi="Verdana"/>
          <w:color w:val="auto"/>
          <w:lang w:eastAsia="en-CA"/>
        </w:rPr>
        <w:t>4.11.1 Where a lot having a lesser frontage or area than required by the provisions of this by-law is held under a distinct and separate ownership from abutting lots as shown by a valid registered conveyance with a good and marketable title in fee simple in the records of the Registry or Land Titles Office at the time of the passing of this By-law, or where such a lot is created as a result of an expropriation or a lot on a registered Plan of Subdivision registered prior to the date of passage of this By-law and after the year 1955, such a lot may be used in conformity with the permitted uses of the Zone in which it is located unless a permitted use requires a greater lot area and/or frontage for a use that did not exist at the time of the passing of this By-law, in which case, should a change of use occur, the higher standard would be required and further if the property is vacant on the date of passing of this By-law, the use(s) that require the least lot area shall be permitted, provided it conforms to all other requirements of this By-law and the regulations of any other appropriate authority</w:t>
      </w:r>
      <w:r>
        <w:rPr>
          <w:rFonts w:ascii="Verdana" w:hAnsi="Verdana"/>
          <w:color w:val="auto"/>
          <w:lang w:eastAsia="en-CA"/>
        </w:rPr>
        <w:t>, be replaced with the following “</w:t>
      </w:r>
      <w:r w:rsidRPr="00602137">
        <w:rPr>
          <w:rFonts w:ascii="Verdana" w:hAnsi="Verdana"/>
          <w:color w:val="auto"/>
          <w:lang w:eastAsia="en-CA"/>
        </w:rPr>
        <w:t>where a vacant lot, having a lesser lot area and/or lot frontage than required herein, existed on the date of passing of this By-law, or where such a lot is created by a public authority or correction of title, such a smaller lot may be used and a permitted building or structure may be erected and/or used on such a smaller lot provided that all other applicable provisions of this By-law are complied with</w:t>
      </w:r>
      <w:r>
        <w:rPr>
          <w:rFonts w:ascii="Verdana" w:hAnsi="Verdana"/>
          <w:color w:val="auto"/>
          <w:lang w:eastAsia="en-CA"/>
        </w:rPr>
        <w:t>”</w:t>
      </w:r>
      <w:r w:rsidRPr="00602137">
        <w:rPr>
          <w:rFonts w:ascii="Verdana" w:hAnsi="Verdana"/>
          <w:color w:val="auto"/>
          <w:lang w:eastAsia="en-CA"/>
        </w:rPr>
        <w:t>.</w:t>
      </w:r>
    </w:p>
    <w:p w14:paraId="3E704D47" w14:textId="77777777" w:rsidR="00303D00" w:rsidRPr="00303D00" w:rsidRDefault="00303D00" w:rsidP="00303D00">
      <w:pPr>
        <w:pStyle w:val="ListParagraph"/>
        <w:jc w:val="both"/>
        <w:rPr>
          <w:rFonts w:ascii="Verdana" w:hAnsi="Verdana"/>
          <w:color w:val="auto"/>
          <w:lang w:eastAsia="en-CA"/>
        </w:rPr>
      </w:pPr>
    </w:p>
    <w:p w14:paraId="1F05BB3A" w14:textId="5EA4E581" w:rsidR="00303D00" w:rsidRPr="00303D00" w:rsidRDefault="00602137" w:rsidP="00303D00">
      <w:pPr>
        <w:pStyle w:val="ListParagraph"/>
        <w:numPr>
          <w:ilvl w:val="0"/>
          <w:numId w:val="6"/>
        </w:numPr>
        <w:jc w:val="both"/>
        <w:rPr>
          <w:rFonts w:ascii="Verdana" w:hAnsi="Verdana"/>
          <w:color w:val="auto"/>
          <w:szCs w:val="24"/>
        </w:rPr>
      </w:pPr>
      <w:bookmarkStart w:id="4" w:name="_Hlk157672626"/>
      <w:r>
        <w:rPr>
          <w:rFonts w:ascii="Verdana" w:hAnsi="Verdana"/>
          <w:color w:val="auto"/>
          <w:szCs w:val="24"/>
        </w:rPr>
        <w:t>S</w:t>
      </w:r>
      <w:r w:rsidR="00303D00" w:rsidRPr="00303D00">
        <w:rPr>
          <w:rFonts w:ascii="Verdana" w:hAnsi="Verdana"/>
          <w:color w:val="auto"/>
          <w:szCs w:val="24"/>
        </w:rPr>
        <w:t>ection</w:t>
      </w:r>
      <w:r>
        <w:rPr>
          <w:rFonts w:ascii="Verdana" w:hAnsi="Verdana"/>
          <w:color w:val="auto"/>
          <w:szCs w:val="24"/>
        </w:rPr>
        <w:t xml:space="preserve"> </w:t>
      </w:r>
      <w:r w:rsidR="00303D00" w:rsidRPr="00303D00">
        <w:rPr>
          <w:rFonts w:ascii="Verdana" w:hAnsi="Verdana"/>
          <w:color w:val="auto"/>
          <w:szCs w:val="24"/>
        </w:rPr>
        <w:t xml:space="preserve">4.12 LEGAL NON-COMPLYING BUILDINGS, STRUCTURES AND LOTS. </w:t>
      </w:r>
      <w:bookmarkEnd w:id="4"/>
      <w:r w:rsidR="0062163A">
        <w:rPr>
          <w:rFonts w:ascii="Verdana" w:hAnsi="Verdana"/>
          <w:color w:val="auto"/>
          <w:szCs w:val="24"/>
        </w:rPr>
        <w:t xml:space="preserve">- </w:t>
      </w:r>
      <w:r w:rsidR="00303D00" w:rsidRPr="00303D00">
        <w:rPr>
          <w:rFonts w:ascii="Verdana" w:hAnsi="Verdana"/>
          <w:color w:val="auto"/>
          <w:szCs w:val="24"/>
        </w:rPr>
        <w:t>“Where a building or structure has been lawfully erected prior to January 1, 1994 on a lot having less than the minimum frontage and/or area, or having less that the minimum setback, and/or yard or any other provision required in this By-law, the said building or structure shall be deemed to comply with this By-law with respect to any such deficiency or deficiencies; and further the said building or structure may be extended, enlarged, reconstructed, relocated, replaced, repaired or renovated provided that: (a) The extension, enlargement, reconstruction, relocation, replacement, repair or renovation does not further encroach or increase the usable ground floor area in a required yard, or further reduce any setback; and (b) All other applicable provisions of this By-law are complied with”, be replaced  with the following:</w:t>
      </w:r>
      <w:r w:rsidR="00303D00" w:rsidRPr="00303D00">
        <w:rPr>
          <w:rFonts w:cs="Arial"/>
          <w:color w:val="auto"/>
          <w:sz w:val="18"/>
          <w:szCs w:val="18"/>
        </w:rPr>
        <w:t xml:space="preserve"> </w:t>
      </w:r>
      <w:r w:rsidR="00303D00" w:rsidRPr="00303D00">
        <w:rPr>
          <w:rFonts w:ascii="Verdana" w:hAnsi="Verdana"/>
          <w:color w:val="auto"/>
          <w:szCs w:val="24"/>
        </w:rPr>
        <w:t>Where a building or structure has been lawfully erected prior to January 1, 1994 on a lot having less than the minimum frontage and/or area, or having less that the minimum setback, and/or yard or any other provision required in this By-law, the said building or structure shall be deemed to comply with this By-law with respect to any such deficiency or deficiencies; and further the said building or structure may be extended, enlarged, reconstructed, relocated, replaced, repaired or renovated provided that:</w:t>
      </w:r>
    </w:p>
    <w:p w14:paraId="39EC53B2" w14:textId="77777777" w:rsidR="00303D00" w:rsidRPr="00303D00" w:rsidRDefault="00303D00" w:rsidP="00303D00">
      <w:pPr>
        <w:pStyle w:val="ListParagraph"/>
        <w:ind w:left="502"/>
        <w:jc w:val="both"/>
        <w:rPr>
          <w:rFonts w:ascii="Verdana" w:hAnsi="Verdana"/>
          <w:color w:val="auto"/>
          <w:szCs w:val="24"/>
        </w:rPr>
      </w:pPr>
    </w:p>
    <w:p w14:paraId="3A53B346" w14:textId="77777777" w:rsidR="00303D00" w:rsidRP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 xml:space="preserve">a) Legally Existing Buildings and Structures </w:t>
      </w:r>
    </w:p>
    <w:p w14:paraId="38115594" w14:textId="77777777" w:rsidR="00303D00" w:rsidRPr="00303D00" w:rsidRDefault="00303D00" w:rsidP="00303D00">
      <w:pPr>
        <w:pStyle w:val="ListParagraph"/>
        <w:ind w:left="502"/>
        <w:jc w:val="both"/>
        <w:rPr>
          <w:rFonts w:ascii="Verdana" w:hAnsi="Verdana"/>
          <w:color w:val="auto"/>
          <w:szCs w:val="24"/>
        </w:rPr>
      </w:pPr>
    </w:p>
    <w:p w14:paraId="0C0CDDBE" w14:textId="77777777" w:rsid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Where a legally existing building or structure is located on a lot having less than the minimum required frontage and/or lot area, and/or having less than the minimum required front yard and/or side yard and/or rear yard required by this By-law, the said legally existing building or structure may be expanded or reconstructed provided that:</w:t>
      </w:r>
    </w:p>
    <w:p w14:paraId="63C5893B" w14:textId="77777777" w:rsidR="00303D00" w:rsidRPr="00303D00" w:rsidRDefault="00303D00" w:rsidP="00303D00">
      <w:pPr>
        <w:pStyle w:val="ListParagraph"/>
        <w:ind w:left="502"/>
        <w:jc w:val="both"/>
        <w:rPr>
          <w:rFonts w:ascii="Verdana" w:hAnsi="Verdana"/>
          <w:color w:val="auto"/>
          <w:szCs w:val="24"/>
        </w:rPr>
      </w:pPr>
    </w:p>
    <w:p w14:paraId="64A386BB" w14:textId="4F07C7A4" w:rsid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 xml:space="preserve">i) the expansion or reconstruction does not reduce the front yard, and/or side yard, and/or rear yard or increase the amount of gross floor area or ground floor </w:t>
      </w:r>
      <w:r w:rsidR="00322703" w:rsidRPr="00303D00">
        <w:rPr>
          <w:rFonts w:ascii="Verdana" w:hAnsi="Verdana"/>
          <w:color w:val="auto"/>
          <w:szCs w:val="24"/>
        </w:rPr>
        <w:t>area, or</w:t>
      </w:r>
      <w:r w:rsidRPr="00303D00">
        <w:rPr>
          <w:rFonts w:ascii="Verdana" w:hAnsi="Verdana"/>
          <w:color w:val="auto"/>
          <w:szCs w:val="24"/>
        </w:rPr>
        <w:t xml:space="preserve"> height in a required yard as outlined in this Zoning Bylaw. </w:t>
      </w:r>
    </w:p>
    <w:p w14:paraId="103F4D4A" w14:textId="77777777" w:rsidR="00303D00" w:rsidRPr="00303D00" w:rsidRDefault="00303D00" w:rsidP="00303D00">
      <w:pPr>
        <w:pStyle w:val="ListParagraph"/>
        <w:ind w:left="502"/>
        <w:jc w:val="both"/>
        <w:rPr>
          <w:rFonts w:ascii="Verdana" w:hAnsi="Verdana"/>
          <w:color w:val="auto"/>
          <w:szCs w:val="24"/>
        </w:rPr>
      </w:pPr>
    </w:p>
    <w:p w14:paraId="568180E6" w14:textId="77777777" w:rsidR="005724C1" w:rsidRDefault="00303D00" w:rsidP="00303D00">
      <w:pPr>
        <w:pStyle w:val="ListParagraph"/>
        <w:ind w:left="502"/>
        <w:jc w:val="both"/>
        <w:rPr>
          <w:rFonts w:ascii="Verdana" w:hAnsi="Verdana"/>
          <w:color w:val="auto"/>
          <w:szCs w:val="24"/>
        </w:rPr>
      </w:pPr>
      <w:r w:rsidRPr="00303D00">
        <w:rPr>
          <w:rFonts w:ascii="Verdana" w:hAnsi="Verdana"/>
          <w:color w:val="auto"/>
          <w:szCs w:val="24"/>
        </w:rPr>
        <w:t>ii) the legally existing building or structure is being used for a purpose permitted within the Zone in which it is located; and,</w:t>
      </w:r>
    </w:p>
    <w:p w14:paraId="0CDE0F0F" w14:textId="77777777" w:rsidR="005724C1" w:rsidRDefault="00303D00" w:rsidP="00303D00">
      <w:pPr>
        <w:pStyle w:val="ListParagraph"/>
        <w:ind w:left="502"/>
        <w:jc w:val="both"/>
        <w:rPr>
          <w:rFonts w:ascii="Verdana" w:hAnsi="Verdana"/>
          <w:color w:val="auto"/>
          <w:szCs w:val="24"/>
        </w:rPr>
      </w:pPr>
      <w:r w:rsidRPr="00303D00">
        <w:rPr>
          <w:rFonts w:ascii="Verdana" w:hAnsi="Verdana"/>
          <w:color w:val="auto"/>
          <w:szCs w:val="24"/>
        </w:rPr>
        <w:t xml:space="preserve"> </w:t>
      </w:r>
    </w:p>
    <w:p w14:paraId="7074A36D" w14:textId="413AEE8B" w:rsidR="00303D00" w:rsidRP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 xml:space="preserve">iii) all other applicable Provisions of this By-law are complied with. </w:t>
      </w:r>
    </w:p>
    <w:p w14:paraId="45AE713A" w14:textId="77777777" w:rsidR="00303D00" w:rsidRPr="00303D00" w:rsidRDefault="00303D00" w:rsidP="00303D00">
      <w:pPr>
        <w:pStyle w:val="ListParagraph"/>
        <w:ind w:left="502"/>
        <w:jc w:val="both"/>
        <w:rPr>
          <w:rFonts w:ascii="Verdana" w:hAnsi="Verdana"/>
          <w:color w:val="auto"/>
          <w:szCs w:val="24"/>
        </w:rPr>
      </w:pPr>
    </w:p>
    <w:p w14:paraId="503A95D0" w14:textId="77777777" w:rsidR="00303D00" w:rsidRP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 xml:space="preserve">b) Reconstruction of Legally Existing Building </w:t>
      </w:r>
    </w:p>
    <w:p w14:paraId="72921AEF" w14:textId="77777777" w:rsidR="00303D00" w:rsidRPr="00303D00" w:rsidRDefault="00303D00" w:rsidP="00303D00">
      <w:pPr>
        <w:pStyle w:val="ListParagraph"/>
        <w:ind w:left="502"/>
        <w:jc w:val="both"/>
        <w:rPr>
          <w:rFonts w:ascii="Verdana" w:hAnsi="Verdana"/>
          <w:color w:val="auto"/>
          <w:szCs w:val="24"/>
        </w:rPr>
      </w:pPr>
    </w:p>
    <w:p w14:paraId="6A2042E0" w14:textId="77777777" w:rsidR="00303D00" w:rsidRP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Nothing in this By-law shall prevent the reconstruction of a legally existing building that does not comply with the provisions in this By-law, provided that no part of the legally existing building that is non-complying is increased in height, volume or gross floor area and the reconstruction does not reduce the front yard and/or side yard and/or rear yard.</w:t>
      </w:r>
    </w:p>
    <w:p w14:paraId="79D72402" w14:textId="77777777" w:rsidR="00303D00" w:rsidRPr="00303D00" w:rsidRDefault="00303D00" w:rsidP="00303D00">
      <w:pPr>
        <w:pStyle w:val="ListParagraph"/>
        <w:ind w:left="502"/>
        <w:jc w:val="both"/>
        <w:rPr>
          <w:rFonts w:ascii="Verdana" w:hAnsi="Verdana"/>
          <w:color w:val="auto"/>
          <w:szCs w:val="24"/>
        </w:rPr>
      </w:pPr>
    </w:p>
    <w:p w14:paraId="72B2758C" w14:textId="3FF12688" w:rsidR="00303D00" w:rsidRPr="00303D00" w:rsidRDefault="00303D00" w:rsidP="00303D00">
      <w:pPr>
        <w:pStyle w:val="ListParagraph"/>
        <w:ind w:left="502"/>
        <w:jc w:val="both"/>
        <w:rPr>
          <w:rFonts w:ascii="Verdana" w:hAnsi="Verdana"/>
          <w:color w:val="auto"/>
          <w:szCs w:val="24"/>
        </w:rPr>
      </w:pPr>
      <w:r w:rsidRPr="00303D00">
        <w:rPr>
          <w:rFonts w:ascii="Verdana" w:hAnsi="Verdana"/>
          <w:color w:val="auto"/>
          <w:szCs w:val="24"/>
        </w:rPr>
        <w:t>c)  Damaged Legally Existing Buildings and Structures</w:t>
      </w:r>
    </w:p>
    <w:p w14:paraId="43546476" w14:textId="77777777" w:rsidR="00303D00" w:rsidRPr="00303D00" w:rsidRDefault="00303D00" w:rsidP="00303D00">
      <w:pPr>
        <w:pStyle w:val="ListParagraph"/>
        <w:ind w:left="502"/>
        <w:jc w:val="both"/>
        <w:rPr>
          <w:rFonts w:ascii="Verdana" w:hAnsi="Verdana"/>
          <w:color w:val="auto"/>
          <w:szCs w:val="24"/>
        </w:rPr>
      </w:pPr>
    </w:p>
    <w:p w14:paraId="4DC698B0" w14:textId="77777777" w:rsidR="008628BE" w:rsidRDefault="00303D00" w:rsidP="00303D00">
      <w:pPr>
        <w:pStyle w:val="ListParagraph"/>
        <w:ind w:left="502"/>
        <w:jc w:val="both"/>
        <w:rPr>
          <w:rFonts w:ascii="Verdana" w:hAnsi="Verdana"/>
          <w:color w:val="auto"/>
          <w:szCs w:val="24"/>
        </w:rPr>
      </w:pPr>
      <w:r w:rsidRPr="00303D00">
        <w:rPr>
          <w:rFonts w:ascii="Verdana" w:hAnsi="Verdana"/>
          <w:color w:val="auto"/>
          <w:szCs w:val="24"/>
        </w:rPr>
        <w:t>Nothing in this By-law shall apply to prevent the reconstruction of any permitted legally existing building or structure which is damaged by causes beyond the control of the owner, and such permitted legally existing building may be reconstructed as it previously existed, even if such did not comply with one or more of the provisions of this By-law, but the non-compliance may not be further increased. A legally existing building damaged or destroyed because of natural flooding shall not be reconstructed, except in accordance with the provisions of this By-law.</w:t>
      </w:r>
    </w:p>
    <w:p w14:paraId="05103D97" w14:textId="77777777" w:rsidR="008628BE" w:rsidRDefault="008628BE" w:rsidP="008628BE">
      <w:pPr>
        <w:jc w:val="both"/>
        <w:rPr>
          <w:rFonts w:ascii="Verdana" w:hAnsi="Verdana"/>
          <w:color w:val="auto"/>
          <w:szCs w:val="24"/>
        </w:rPr>
      </w:pPr>
    </w:p>
    <w:p w14:paraId="71AA4F1C" w14:textId="05EC664B" w:rsidR="008628BE" w:rsidRDefault="008628BE" w:rsidP="008628BE">
      <w:pPr>
        <w:pStyle w:val="ListParagraph"/>
        <w:numPr>
          <w:ilvl w:val="0"/>
          <w:numId w:val="6"/>
        </w:numPr>
        <w:jc w:val="both"/>
        <w:rPr>
          <w:rFonts w:ascii="Verdana" w:hAnsi="Verdana"/>
          <w:color w:val="auto"/>
          <w:szCs w:val="24"/>
        </w:rPr>
      </w:pPr>
      <w:r>
        <w:rPr>
          <w:rFonts w:ascii="Verdana" w:hAnsi="Verdana"/>
          <w:color w:val="auto"/>
          <w:szCs w:val="24"/>
        </w:rPr>
        <w:t xml:space="preserve">Subsection </w:t>
      </w:r>
      <w:r w:rsidRPr="008628BE">
        <w:rPr>
          <w:rFonts w:ascii="Verdana" w:hAnsi="Verdana"/>
          <w:color w:val="auto"/>
          <w:szCs w:val="24"/>
        </w:rPr>
        <w:t>4.20 PERMITTED YARD ENCROACHMENTS</w:t>
      </w:r>
      <w:r>
        <w:rPr>
          <w:rFonts w:ascii="Verdana" w:hAnsi="Verdana"/>
          <w:color w:val="auto"/>
          <w:szCs w:val="24"/>
        </w:rPr>
        <w:t xml:space="preserve">. </w:t>
      </w:r>
      <w:r w:rsidRPr="008628BE">
        <w:rPr>
          <w:rFonts w:ascii="Verdana" w:hAnsi="Verdana"/>
          <w:color w:val="auto"/>
          <w:szCs w:val="24"/>
        </w:rPr>
        <w:t>Sills, belt courses, cornices, eaves or canopies, gutters, chimneys, or pilasters.  All yards 0.76 m</w:t>
      </w:r>
      <w:r>
        <w:rPr>
          <w:rFonts w:ascii="Verdana" w:hAnsi="Verdana"/>
          <w:color w:val="auto"/>
          <w:szCs w:val="24"/>
        </w:rPr>
        <w:t xml:space="preserve"> be amended to 0.5 m.</w:t>
      </w:r>
    </w:p>
    <w:p w14:paraId="22819226" w14:textId="77777777" w:rsidR="008628BE" w:rsidRDefault="008628BE" w:rsidP="008628BE">
      <w:pPr>
        <w:pStyle w:val="ListParagraph"/>
        <w:ind w:left="502"/>
        <w:jc w:val="both"/>
        <w:rPr>
          <w:rFonts w:ascii="Verdana" w:hAnsi="Verdana"/>
          <w:color w:val="auto"/>
          <w:szCs w:val="24"/>
        </w:rPr>
      </w:pPr>
    </w:p>
    <w:p w14:paraId="5B46E372" w14:textId="3869AD94" w:rsidR="008628BE" w:rsidRDefault="008628BE" w:rsidP="008628BE">
      <w:pPr>
        <w:pStyle w:val="ListParagraph"/>
        <w:ind w:left="502"/>
        <w:jc w:val="both"/>
        <w:rPr>
          <w:rFonts w:ascii="Verdana" w:hAnsi="Verdana"/>
          <w:color w:val="auto"/>
          <w:szCs w:val="24"/>
        </w:rPr>
      </w:pPr>
      <w:r>
        <w:rPr>
          <w:rFonts w:ascii="Verdana" w:hAnsi="Verdana"/>
          <w:color w:val="auto"/>
          <w:szCs w:val="24"/>
        </w:rPr>
        <w:t>Balconies – remove row in Table associated under section 4.20.</w:t>
      </w:r>
    </w:p>
    <w:p w14:paraId="6F079565" w14:textId="77777777" w:rsidR="00EE3040" w:rsidRDefault="00EE3040" w:rsidP="00EE3040">
      <w:pPr>
        <w:jc w:val="both"/>
        <w:rPr>
          <w:rFonts w:ascii="Verdana" w:hAnsi="Verdana"/>
          <w:color w:val="auto"/>
          <w:szCs w:val="24"/>
        </w:rPr>
      </w:pPr>
    </w:p>
    <w:p w14:paraId="723F371D" w14:textId="5D19AE8E" w:rsidR="00EE3040" w:rsidRDefault="00EE3040" w:rsidP="00625589">
      <w:pPr>
        <w:pStyle w:val="ListParagraph"/>
        <w:numPr>
          <w:ilvl w:val="0"/>
          <w:numId w:val="6"/>
        </w:numPr>
        <w:jc w:val="both"/>
        <w:rPr>
          <w:rFonts w:ascii="Verdana" w:hAnsi="Verdana"/>
          <w:color w:val="auto"/>
          <w:szCs w:val="24"/>
        </w:rPr>
      </w:pPr>
      <w:r w:rsidRPr="00EE3040">
        <w:rPr>
          <w:rFonts w:ascii="Verdana" w:hAnsi="Verdana"/>
          <w:color w:val="auto"/>
          <w:szCs w:val="24"/>
        </w:rPr>
        <w:t>SECTION 7 - VILLAGE RESIDENTIAL "R1" ZONE</w:t>
      </w:r>
      <w:r w:rsidR="00625589">
        <w:rPr>
          <w:rFonts w:ascii="Verdana" w:hAnsi="Verdana"/>
          <w:color w:val="auto"/>
          <w:szCs w:val="24"/>
        </w:rPr>
        <w:t xml:space="preserve"> – Subsection </w:t>
      </w:r>
      <w:r w:rsidR="00625589" w:rsidRPr="00625589">
        <w:rPr>
          <w:rFonts w:ascii="Verdana" w:hAnsi="Verdana"/>
          <w:color w:val="auto"/>
          <w:szCs w:val="24"/>
        </w:rPr>
        <w:t>8.3.1 Single detached Dwelling (f) Minimum Gross Floor Area 93 m</w:t>
      </w:r>
      <w:r w:rsidR="00625589" w:rsidRPr="00625589">
        <w:rPr>
          <w:rFonts w:ascii="Verdana" w:hAnsi="Verdana"/>
          <w:color w:val="auto"/>
          <w:szCs w:val="24"/>
          <w:vertAlign w:val="superscript"/>
        </w:rPr>
        <w:t>2</w:t>
      </w:r>
      <w:r w:rsidR="00625589">
        <w:rPr>
          <w:rFonts w:ascii="Verdana" w:hAnsi="Verdana"/>
          <w:color w:val="auto"/>
          <w:szCs w:val="24"/>
          <w:vertAlign w:val="superscript"/>
        </w:rPr>
        <w:t xml:space="preserve"> </w:t>
      </w:r>
      <w:r w:rsidR="00625589">
        <w:rPr>
          <w:rFonts w:ascii="Verdana" w:hAnsi="Verdana"/>
          <w:color w:val="auto"/>
          <w:szCs w:val="24"/>
        </w:rPr>
        <w:t>be amended to 55.74 m</w:t>
      </w:r>
      <w:r w:rsidR="00625589" w:rsidRPr="00625589">
        <w:rPr>
          <w:rFonts w:ascii="Verdana" w:hAnsi="Verdana"/>
          <w:color w:val="auto"/>
          <w:szCs w:val="24"/>
          <w:vertAlign w:val="superscript"/>
        </w:rPr>
        <w:t>2</w:t>
      </w:r>
      <w:r w:rsidR="00625589">
        <w:rPr>
          <w:rFonts w:ascii="Verdana" w:hAnsi="Verdana"/>
          <w:color w:val="auto"/>
          <w:szCs w:val="24"/>
        </w:rPr>
        <w:t>.</w:t>
      </w:r>
    </w:p>
    <w:p w14:paraId="4C26A03C" w14:textId="77777777" w:rsidR="00625589" w:rsidRDefault="00625589" w:rsidP="00625589">
      <w:pPr>
        <w:pStyle w:val="ListParagraph"/>
        <w:ind w:left="502"/>
        <w:jc w:val="both"/>
        <w:rPr>
          <w:rFonts w:ascii="Verdana" w:hAnsi="Verdana"/>
          <w:color w:val="auto"/>
          <w:szCs w:val="24"/>
        </w:rPr>
      </w:pPr>
    </w:p>
    <w:p w14:paraId="5E111235" w14:textId="77777777" w:rsidR="00A07DB3" w:rsidRDefault="00444D87" w:rsidP="00A07DB3">
      <w:pPr>
        <w:pStyle w:val="ListParagraph"/>
        <w:numPr>
          <w:ilvl w:val="0"/>
          <w:numId w:val="6"/>
        </w:numPr>
        <w:jc w:val="both"/>
        <w:rPr>
          <w:rFonts w:ascii="Verdana" w:hAnsi="Verdana"/>
          <w:color w:val="auto"/>
          <w:szCs w:val="24"/>
        </w:rPr>
      </w:pPr>
      <w:r w:rsidRPr="00EE3040">
        <w:rPr>
          <w:rFonts w:ascii="Verdana" w:hAnsi="Verdana"/>
          <w:color w:val="auto"/>
          <w:szCs w:val="24"/>
        </w:rPr>
        <w:t xml:space="preserve">SECTION </w:t>
      </w:r>
      <w:r>
        <w:rPr>
          <w:rFonts w:ascii="Verdana" w:hAnsi="Verdana"/>
          <w:color w:val="auto"/>
          <w:szCs w:val="24"/>
        </w:rPr>
        <w:t>8</w:t>
      </w:r>
      <w:r w:rsidRPr="00EE3040">
        <w:rPr>
          <w:rFonts w:ascii="Verdana" w:hAnsi="Verdana"/>
          <w:color w:val="auto"/>
          <w:szCs w:val="24"/>
        </w:rPr>
        <w:t xml:space="preserve"> - VILLAGE RESIDENTIAL "R</w:t>
      </w:r>
      <w:r w:rsidR="006A031B">
        <w:rPr>
          <w:rFonts w:ascii="Verdana" w:hAnsi="Verdana"/>
          <w:color w:val="auto"/>
          <w:szCs w:val="24"/>
        </w:rPr>
        <w:t>2</w:t>
      </w:r>
      <w:r w:rsidRPr="00EE3040">
        <w:rPr>
          <w:rFonts w:ascii="Verdana" w:hAnsi="Verdana"/>
          <w:color w:val="auto"/>
          <w:szCs w:val="24"/>
        </w:rPr>
        <w:t>" ZONE</w:t>
      </w:r>
      <w:r>
        <w:rPr>
          <w:rFonts w:ascii="Verdana" w:hAnsi="Verdana"/>
          <w:color w:val="auto"/>
          <w:szCs w:val="24"/>
        </w:rPr>
        <w:t xml:space="preserve"> – Subsection 9</w:t>
      </w:r>
      <w:r w:rsidRPr="00625589">
        <w:rPr>
          <w:rFonts w:ascii="Verdana" w:hAnsi="Verdana"/>
          <w:color w:val="auto"/>
          <w:szCs w:val="24"/>
        </w:rPr>
        <w:t>.3.1 Single detached Dwelling (f) Minimum Gross Floor Area 93 m</w:t>
      </w:r>
      <w:r w:rsidRPr="00625589">
        <w:rPr>
          <w:rFonts w:ascii="Verdana" w:hAnsi="Verdana"/>
          <w:color w:val="auto"/>
          <w:szCs w:val="24"/>
          <w:vertAlign w:val="superscript"/>
        </w:rPr>
        <w:t>2</w:t>
      </w:r>
      <w:r>
        <w:rPr>
          <w:rFonts w:ascii="Verdana" w:hAnsi="Verdana"/>
          <w:color w:val="auto"/>
          <w:szCs w:val="24"/>
          <w:vertAlign w:val="superscript"/>
        </w:rPr>
        <w:t xml:space="preserve"> </w:t>
      </w:r>
      <w:r>
        <w:rPr>
          <w:rFonts w:ascii="Verdana" w:hAnsi="Verdana"/>
          <w:color w:val="auto"/>
          <w:szCs w:val="24"/>
        </w:rPr>
        <w:t>be amended to 55.74 m</w:t>
      </w:r>
      <w:r w:rsidRPr="00625589">
        <w:rPr>
          <w:rFonts w:ascii="Verdana" w:hAnsi="Verdana"/>
          <w:color w:val="auto"/>
          <w:szCs w:val="24"/>
          <w:vertAlign w:val="superscript"/>
        </w:rPr>
        <w:t>2</w:t>
      </w:r>
      <w:r>
        <w:rPr>
          <w:rFonts w:ascii="Verdana" w:hAnsi="Verdana"/>
          <w:color w:val="auto"/>
          <w:szCs w:val="24"/>
        </w:rPr>
        <w:t>.</w:t>
      </w:r>
    </w:p>
    <w:p w14:paraId="4FF4662D" w14:textId="77777777" w:rsidR="00A07DB3" w:rsidRPr="00A07DB3" w:rsidRDefault="00A07DB3" w:rsidP="00A07DB3">
      <w:pPr>
        <w:pStyle w:val="ListParagraph"/>
        <w:rPr>
          <w:szCs w:val="24"/>
        </w:rPr>
      </w:pPr>
    </w:p>
    <w:p w14:paraId="0818641E" w14:textId="77777777" w:rsidR="00A07DB3" w:rsidRPr="00A07DB3" w:rsidRDefault="00A07DB3" w:rsidP="00A07DB3">
      <w:pPr>
        <w:pStyle w:val="ListParagraph"/>
        <w:rPr>
          <w:rFonts w:ascii="Verdana" w:hAnsi="Verdana"/>
          <w:szCs w:val="24"/>
        </w:rPr>
      </w:pPr>
    </w:p>
    <w:p w14:paraId="47EB8928" w14:textId="77777777" w:rsidR="002508DF" w:rsidRDefault="002508DF" w:rsidP="00A07DB3">
      <w:pPr>
        <w:pStyle w:val="ListParagraph"/>
        <w:numPr>
          <w:ilvl w:val="0"/>
          <w:numId w:val="6"/>
        </w:numPr>
        <w:jc w:val="both"/>
        <w:rPr>
          <w:rFonts w:ascii="Verdana" w:hAnsi="Verdana"/>
          <w:color w:val="auto"/>
          <w:szCs w:val="24"/>
        </w:rPr>
      </w:pPr>
      <w:r w:rsidRPr="002508DF">
        <w:rPr>
          <w:rFonts w:ascii="Verdana" w:hAnsi="Verdana"/>
          <w:color w:val="auto"/>
          <w:szCs w:val="24"/>
        </w:rPr>
        <w:t>That Schedule "F" to General Zoning By-law No. 2000-57, is hereby further amended by rezoning those lands described as Con. 1, OS PT LOT 75 from the Village Residential “R1” Zone to the Institutional “I” Zone.</w:t>
      </w:r>
    </w:p>
    <w:p w14:paraId="6B197EF6" w14:textId="77777777" w:rsidR="00625589" w:rsidRPr="004D3DF2" w:rsidRDefault="00625589" w:rsidP="004D3DF2">
      <w:pPr>
        <w:jc w:val="both"/>
        <w:rPr>
          <w:rFonts w:ascii="Verdana" w:hAnsi="Verdana"/>
          <w:color w:val="auto"/>
          <w:szCs w:val="24"/>
        </w:rPr>
      </w:pPr>
    </w:p>
    <w:p w14:paraId="5E4C7F74" w14:textId="77777777" w:rsidR="002E3199" w:rsidRDefault="002E3199" w:rsidP="001C3719">
      <w:pPr>
        <w:jc w:val="both"/>
        <w:rPr>
          <w:rFonts w:ascii="Verdana" w:hAnsi="Verdana"/>
          <w:color w:val="auto"/>
          <w:szCs w:val="24"/>
          <w:lang w:val="en-CA"/>
        </w:rPr>
      </w:pPr>
    </w:p>
    <w:p w14:paraId="0B95BE9B" w14:textId="77777777" w:rsidR="004D3DF2" w:rsidRDefault="004D3DF2" w:rsidP="001C3719">
      <w:pPr>
        <w:jc w:val="both"/>
        <w:rPr>
          <w:rFonts w:ascii="Verdana" w:hAnsi="Verdana"/>
          <w:color w:val="auto"/>
          <w:szCs w:val="24"/>
          <w:lang w:val="en-CA"/>
        </w:rPr>
      </w:pPr>
    </w:p>
    <w:p w14:paraId="333B8355" w14:textId="77777777" w:rsidR="004D3DF2" w:rsidRDefault="004D3DF2" w:rsidP="001C3719">
      <w:pPr>
        <w:jc w:val="both"/>
        <w:rPr>
          <w:rFonts w:ascii="Verdana" w:hAnsi="Verdana"/>
          <w:color w:val="auto"/>
          <w:szCs w:val="24"/>
          <w:lang w:val="en-CA"/>
        </w:rPr>
      </w:pPr>
    </w:p>
    <w:p w14:paraId="242ED447" w14:textId="77777777" w:rsidR="004D3DF2" w:rsidRDefault="004D3DF2" w:rsidP="001C3719">
      <w:pPr>
        <w:jc w:val="both"/>
        <w:rPr>
          <w:rFonts w:ascii="Verdana" w:hAnsi="Verdana"/>
          <w:color w:val="auto"/>
          <w:szCs w:val="24"/>
          <w:lang w:val="en-CA"/>
        </w:rPr>
      </w:pPr>
    </w:p>
    <w:p w14:paraId="15E8BC83" w14:textId="77777777" w:rsidR="004D3DF2" w:rsidRDefault="004D3DF2" w:rsidP="001C3719">
      <w:pPr>
        <w:jc w:val="both"/>
        <w:rPr>
          <w:rFonts w:ascii="Verdana" w:hAnsi="Verdana"/>
          <w:color w:val="auto"/>
          <w:szCs w:val="24"/>
          <w:lang w:val="en-CA"/>
        </w:rPr>
      </w:pPr>
    </w:p>
    <w:p w14:paraId="0BBD68D1" w14:textId="77777777" w:rsidR="004D3DF2" w:rsidRDefault="004D3DF2" w:rsidP="001C3719">
      <w:pPr>
        <w:jc w:val="both"/>
        <w:rPr>
          <w:rFonts w:ascii="Verdana" w:hAnsi="Verdana"/>
          <w:color w:val="auto"/>
          <w:szCs w:val="24"/>
          <w:lang w:val="en-CA"/>
        </w:rPr>
      </w:pPr>
    </w:p>
    <w:p w14:paraId="2BBAD309" w14:textId="77777777" w:rsidR="004D3DF2" w:rsidRPr="00A07DB3" w:rsidRDefault="004D3DF2" w:rsidP="001C3719">
      <w:pPr>
        <w:jc w:val="both"/>
        <w:rPr>
          <w:rFonts w:ascii="Verdana" w:hAnsi="Verdana"/>
          <w:color w:val="auto"/>
          <w:szCs w:val="24"/>
          <w:lang w:val="en-CA"/>
        </w:rPr>
      </w:pPr>
    </w:p>
    <w:p w14:paraId="37C27E00" w14:textId="5652E3EF" w:rsidR="002E3199" w:rsidRPr="00DE1A85" w:rsidRDefault="002E3199" w:rsidP="001C3719">
      <w:pPr>
        <w:jc w:val="both"/>
        <w:rPr>
          <w:rFonts w:ascii="Verdana" w:hAnsi="Verdana"/>
          <w:b/>
          <w:color w:val="auto"/>
          <w:szCs w:val="24"/>
        </w:rPr>
      </w:pPr>
      <w:r w:rsidRPr="00DE1A85">
        <w:rPr>
          <w:rFonts w:ascii="Verdana" w:hAnsi="Verdana"/>
          <w:b/>
          <w:color w:val="auto"/>
          <w:szCs w:val="24"/>
        </w:rPr>
        <w:t>BY-LAW READ A FIRST, SECOND AND THIRD TIME AND FINALLY PASSED THIS</w:t>
      </w:r>
      <w:r w:rsidR="00624A2C">
        <w:rPr>
          <w:rFonts w:ascii="Verdana" w:hAnsi="Verdana"/>
          <w:b/>
          <w:color w:val="auto"/>
          <w:szCs w:val="24"/>
        </w:rPr>
        <w:t xml:space="preserve"> </w:t>
      </w:r>
      <w:r w:rsidR="00C33168">
        <w:rPr>
          <w:rFonts w:ascii="Verdana" w:hAnsi="Verdana"/>
          <w:b/>
          <w:color w:val="auto"/>
          <w:szCs w:val="24"/>
        </w:rPr>
        <w:t>XX</w:t>
      </w:r>
      <w:r w:rsidR="00B63E0B" w:rsidRPr="00B63E0B">
        <w:rPr>
          <w:rFonts w:ascii="Verdana" w:hAnsi="Verdana"/>
          <w:b/>
          <w:color w:val="auto"/>
          <w:szCs w:val="24"/>
          <w:vertAlign w:val="superscript"/>
        </w:rPr>
        <w:t>nd</w:t>
      </w:r>
      <w:r w:rsidR="00B63E0B">
        <w:rPr>
          <w:rFonts w:ascii="Verdana" w:hAnsi="Verdana"/>
          <w:b/>
          <w:color w:val="auto"/>
          <w:szCs w:val="24"/>
        </w:rPr>
        <w:t xml:space="preserve"> </w:t>
      </w:r>
      <w:r w:rsidR="00CF515E">
        <w:rPr>
          <w:rFonts w:ascii="Verdana" w:hAnsi="Verdana"/>
          <w:b/>
          <w:color w:val="auto"/>
          <w:szCs w:val="24"/>
        </w:rPr>
        <w:t xml:space="preserve">DAY </w:t>
      </w:r>
      <w:r w:rsidR="00C46C75">
        <w:rPr>
          <w:rFonts w:ascii="Verdana" w:hAnsi="Verdana"/>
          <w:b/>
          <w:color w:val="auto"/>
          <w:szCs w:val="24"/>
        </w:rPr>
        <w:t xml:space="preserve">OF </w:t>
      </w:r>
      <w:r w:rsidR="00C33168">
        <w:rPr>
          <w:rFonts w:ascii="Verdana" w:hAnsi="Verdana"/>
          <w:b/>
          <w:color w:val="auto"/>
          <w:szCs w:val="24"/>
        </w:rPr>
        <w:t>XXXXX</w:t>
      </w:r>
      <w:r w:rsidR="003016AC">
        <w:rPr>
          <w:rFonts w:ascii="Verdana" w:hAnsi="Verdana"/>
          <w:b/>
          <w:color w:val="auto"/>
          <w:szCs w:val="24"/>
        </w:rPr>
        <w:t>,</w:t>
      </w:r>
      <w:r w:rsidR="00254F4E">
        <w:rPr>
          <w:rFonts w:ascii="Verdana" w:hAnsi="Verdana"/>
          <w:b/>
          <w:color w:val="auto"/>
          <w:szCs w:val="24"/>
        </w:rPr>
        <w:t xml:space="preserve"> 20</w:t>
      </w:r>
      <w:r w:rsidR="004D3DF2">
        <w:rPr>
          <w:rFonts w:ascii="Verdana" w:hAnsi="Verdana"/>
          <w:b/>
          <w:color w:val="auto"/>
          <w:szCs w:val="24"/>
        </w:rPr>
        <w:t>24</w:t>
      </w:r>
      <w:r w:rsidR="007B73A5">
        <w:rPr>
          <w:rFonts w:ascii="Verdana" w:hAnsi="Verdana"/>
          <w:b/>
          <w:color w:val="auto"/>
          <w:szCs w:val="24"/>
        </w:rPr>
        <w:t>.</w:t>
      </w:r>
    </w:p>
    <w:p w14:paraId="3B689F51" w14:textId="77777777" w:rsidR="002E3199" w:rsidRPr="00DE1A85" w:rsidRDefault="002E3199" w:rsidP="001C3719">
      <w:pPr>
        <w:jc w:val="both"/>
        <w:rPr>
          <w:rFonts w:ascii="Verdana" w:hAnsi="Verdana"/>
          <w:b/>
          <w:color w:val="auto"/>
          <w:szCs w:val="24"/>
        </w:rPr>
      </w:pPr>
    </w:p>
    <w:p w14:paraId="37B4ADAF" w14:textId="77777777" w:rsidR="002E3199" w:rsidRPr="00DE1A85" w:rsidRDefault="002E3199" w:rsidP="001C3719">
      <w:pPr>
        <w:jc w:val="both"/>
        <w:rPr>
          <w:rFonts w:ascii="Verdana" w:hAnsi="Verdana"/>
          <w:b/>
          <w:color w:val="auto"/>
          <w:szCs w:val="24"/>
        </w:rPr>
      </w:pPr>
      <w:r w:rsidRPr="00DE1A85">
        <w:rPr>
          <w:rFonts w:ascii="Verdana" w:hAnsi="Verdana"/>
          <w:b/>
          <w:color w:val="auto"/>
          <w:szCs w:val="24"/>
        </w:rPr>
        <w:t xml:space="preserve">THE CORPORATION OF THE </w:t>
      </w:r>
      <w:smartTag w:uri="urn:schemas-microsoft-com:office:smarttags" w:element="State">
        <w:smartTag w:uri="urn:schemas-microsoft-com:office:smarttags" w:element="PlaceType">
          <w:r w:rsidRPr="00DE1A85">
            <w:rPr>
              <w:rFonts w:ascii="Verdana" w:hAnsi="Verdana"/>
              <w:b/>
              <w:color w:val="auto"/>
              <w:szCs w:val="24"/>
            </w:rPr>
            <w:t>TOWNSHIP</w:t>
          </w:r>
        </w:smartTag>
        <w:r w:rsidRPr="00DE1A85">
          <w:rPr>
            <w:rFonts w:ascii="Verdana" w:hAnsi="Verdana"/>
            <w:b/>
            <w:color w:val="auto"/>
            <w:szCs w:val="24"/>
          </w:rPr>
          <w:t xml:space="preserve"> OF </w:t>
        </w:r>
        <w:smartTag w:uri="urn:schemas-microsoft-com:office:smarttags" w:element="address">
          <w:r w:rsidRPr="00DE1A85">
            <w:rPr>
              <w:rFonts w:ascii="Verdana" w:hAnsi="Verdana"/>
              <w:b/>
              <w:color w:val="auto"/>
              <w:szCs w:val="24"/>
            </w:rPr>
            <w:t>TAY</w:t>
          </w:r>
        </w:smartTag>
      </w:smartTag>
    </w:p>
    <w:p w14:paraId="2977E273" w14:textId="77777777" w:rsidR="002E3199" w:rsidRPr="00DE1A85" w:rsidRDefault="002E3199">
      <w:pPr>
        <w:rPr>
          <w:rFonts w:ascii="Verdana" w:hAnsi="Verdana"/>
          <w:b/>
          <w:color w:val="auto"/>
          <w:szCs w:val="24"/>
        </w:rPr>
      </w:pPr>
    </w:p>
    <w:p w14:paraId="77372160" w14:textId="77777777" w:rsidR="00DE1A85" w:rsidRPr="00DE1A85" w:rsidRDefault="00DE1A85">
      <w:pPr>
        <w:rPr>
          <w:rFonts w:ascii="Verdana" w:hAnsi="Verdana"/>
          <w:b/>
          <w:color w:val="auto"/>
          <w:szCs w:val="24"/>
        </w:rPr>
      </w:pPr>
    </w:p>
    <w:p w14:paraId="19086AA5" w14:textId="77777777" w:rsidR="002E3199" w:rsidRPr="00DE1A85" w:rsidRDefault="002E3199">
      <w:pPr>
        <w:rPr>
          <w:rFonts w:ascii="Verdana" w:hAnsi="Verdana"/>
          <w:color w:val="auto"/>
          <w:szCs w:val="24"/>
          <w:u w:val="single"/>
        </w:rPr>
      </w:pP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p>
    <w:p w14:paraId="72EFFEB3" w14:textId="2A0D02F9" w:rsidR="00DE1A85" w:rsidRPr="00DE1A85" w:rsidRDefault="00620077">
      <w:pPr>
        <w:rPr>
          <w:rFonts w:ascii="Verdana" w:hAnsi="Verdana"/>
          <w:b/>
          <w:color w:val="auto"/>
          <w:szCs w:val="24"/>
        </w:rPr>
      </w:pPr>
      <w:r>
        <w:rPr>
          <w:rFonts w:ascii="Verdana" w:hAnsi="Verdana"/>
          <w:b/>
          <w:color w:val="auto"/>
          <w:szCs w:val="24"/>
        </w:rPr>
        <w:t xml:space="preserve">MAYOR, </w:t>
      </w:r>
      <w:r w:rsidR="00C33168">
        <w:rPr>
          <w:rFonts w:ascii="Verdana" w:hAnsi="Verdana"/>
          <w:b/>
          <w:color w:val="auto"/>
          <w:szCs w:val="24"/>
        </w:rPr>
        <w:t>Ted Walker</w:t>
      </w:r>
    </w:p>
    <w:p w14:paraId="7C0B1328" w14:textId="77777777" w:rsidR="002E3199" w:rsidRDefault="002E3199">
      <w:pPr>
        <w:rPr>
          <w:rFonts w:ascii="Verdana" w:hAnsi="Verdana"/>
          <w:b/>
          <w:color w:val="auto"/>
          <w:szCs w:val="24"/>
        </w:rPr>
      </w:pPr>
    </w:p>
    <w:p w14:paraId="4FEAE8BB" w14:textId="77777777" w:rsidR="00D42064" w:rsidRPr="00DE1A85" w:rsidRDefault="00D42064">
      <w:pPr>
        <w:rPr>
          <w:rFonts w:ascii="Verdana" w:hAnsi="Verdana"/>
          <w:b/>
          <w:color w:val="auto"/>
          <w:szCs w:val="24"/>
        </w:rPr>
      </w:pPr>
    </w:p>
    <w:p w14:paraId="01EF29E0" w14:textId="77777777" w:rsidR="002E3199" w:rsidRPr="00DE1A85" w:rsidRDefault="002E3199">
      <w:pPr>
        <w:rPr>
          <w:rFonts w:ascii="Verdana" w:hAnsi="Verdana"/>
          <w:color w:val="auto"/>
          <w:szCs w:val="24"/>
          <w:u w:val="single"/>
        </w:rPr>
      </w:pP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r w:rsidRPr="00DE1A85">
        <w:rPr>
          <w:rFonts w:ascii="Verdana" w:hAnsi="Verdana"/>
          <w:color w:val="auto"/>
          <w:szCs w:val="24"/>
          <w:u w:val="single"/>
        </w:rPr>
        <w:tab/>
      </w:r>
    </w:p>
    <w:p w14:paraId="4F2624FB" w14:textId="77777777" w:rsidR="002E3199" w:rsidRPr="00DE1A85" w:rsidRDefault="004C42BB" w:rsidP="00A54E2A">
      <w:pPr>
        <w:pStyle w:val="Heading3"/>
        <w:spacing w:after="60"/>
        <w:rPr>
          <w:rFonts w:ascii="Verdana" w:hAnsi="Verdana"/>
          <w:color w:val="auto"/>
          <w:szCs w:val="24"/>
        </w:rPr>
      </w:pPr>
      <w:r>
        <w:rPr>
          <w:rFonts w:ascii="Verdana" w:hAnsi="Verdana"/>
          <w:color w:val="auto"/>
          <w:szCs w:val="24"/>
        </w:rPr>
        <w:t>CLERK,</w:t>
      </w:r>
      <w:r w:rsidR="007C2C1E">
        <w:rPr>
          <w:rFonts w:ascii="Verdana" w:hAnsi="Verdana"/>
          <w:color w:val="auto"/>
          <w:szCs w:val="24"/>
        </w:rPr>
        <w:t xml:space="preserve"> </w:t>
      </w:r>
      <w:r w:rsidR="00FA0745">
        <w:rPr>
          <w:rFonts w:ascii="Verdana" w:hAnsi="Verdana"/>
          <w:color w:val="auto"/>
          <w:szCs w:val="24"/>
        </w:rPr>
        <w:t>Katelyn Johns</w:t>
      </w:r>
    </w:p>
    <w:p w14:paraId="088EC7A7" w14:textId="77777777" w:rsidR="00CE096E" w:rsidRDefault="00CE096E" w:rsidP="00C0666D">
      <w:pPr>
        <w:rPr>
          <w:rFonts w:ascii="Verdana" w:hAnsi="Verdana"/>
          <w:b/>
          <w:color w:val="auto"/>
          <w:szCs w:val="24"/>
        </w:rPr>
      </w:pPr>
    </w:p>
    <w:p w14:paraId="75CD83B3" w14:textId="77777777" w:rsidR="00CE096E" w:rsidRDefault="00CE096E" w:rsidP="00C0666D">
      <w:pPr>
        <w:rPr>
          <w:rFonts w:ascii="Verdana" w:hAnsi="Verdana"/>
          <w:b/>
          <w:color w:val="auto"/>
          <w:szCs w:val="24"/>
        </w:rPr>
      </w:pPr>
    </w:p>
    <w:p w14:paraId="54B904C9" w14:textId="77777777" w:rsidR="00CE096E" w:rsidRDefault="00CE096E" w:rsidP="00C0666D">
      <w:pPr>
        <w:rPr>
          <w:rFonts w:ascii="Verdana" w:hAnsi="Verdana"/>
          <w:b/>
          <w:color w:val="auto"/>
          <w:szCs w:val="24"/>
        </w:rPr>
      </w:pPr>
    </w:p>
    <w:p w14:paraId="05658A48" w14:textId="482003E5" w:rsidR="002E3199" w:rsidRPr="00DE1A85" w:rsidRDefault="002E3199">
      <w:pPr>
        <w:rPr>
          <w:rFonts w:ascii="Verdana" w:hAnsi="Verdana"/>
          <w:b/>
          <w:color w:val="auto"/>
          <w:szCs w:val="24"/>
        </w:rPr>
      </w:pPr>
      <w:r w:rsidRPr="00DE1A85">
        <w:rPr>
          <w:rFonts w:ascii="Verdana" w:hAnsi="Verdana"/>
          <w:b/>
          <w:color w:val="auto"/>
          <w:szCs w:val="24"/>
        </w:rPr>
        <w:tab/>
      </w:r>
      <w:r w:rsidRPr="00DE1A85">
        <w:rPr>
          <w:rFonts w:ascii="Verdana" w:hAnsi="Verdana"/>
          <w:b/>
          <w:color w:val="auto"/>
          <w:szCs w:val="24"/>
        </w:rPr>
        <w:tab/>
      </w:r>
      <w:r w:rsidRPr="00DE1A85">
        <w:rPr>
          <w:rFonts w:ascii="Verdana" w:hAnsi="Verdana"/>
          <w:b/>
          <w:color w:val="auto"/>
          <w:szCs w:val="24"/>
        </w:rPr>
        <w:tab/>
      </w:r>
      <w:r w:rsidRPr="00DE1A85">
        <w:rPr>
          <w:rFonts w:ascii="Verdana" w:hAnsi="Verdana"/>
          <w:b/>
          <w:color w:val="auto"/>
          <w:szCs w:val="24"/>
        </w:rPr>
        <w:tab/>
      </w:r>
      <w:r w:rsidRPr="00DE1A85">
        <w:rPr>
          <w:rFonts w:ascii="Verdana" w:hAnsi="Verdana"/>
          <w:b/>
          <w:color w:val="auto"/>
          <w:szCs w:val="24"/>
        </w:rPr>
        <w:tab/>
      </w:r>
      <w:r w:rsidRPr="00DE1A85">
        <w:rPr>
          <w:rFonts w:ascii="Verdana" w:hAnsi="Verdana"/>
          <w:b/>
          <w:color w:val="auto"/>
          <w:szCs w:val="24"/>
        </w:rPr>
        <w:tab/>
      </w:r>
    </w:p>
    <w:sectPr w:rsidR="002E3199" w:rsidRPr="00DE1A85" w:rsidSect="00EC049A">
      <w:headerReference w:type="even" r:id="rId7"/>
      <w:headerReference w:type="default" r:id="rId8"/>
      <w:footerReference w:type="even" r:id="rId9"/>
      <w:footerReference w:type="default" r:id="rId10"/>
      <w:headerReference w:type="first" r:id="rId11"/>
      <w:footerReference w:type="first" r:id="rId12"/>
      <w:pgSz w:w="12240" w:h="20160" w:code="5"/>
      <w:pgMar w:top="992" w:right="1797" w:bottom="720" w:left="1797" w:header="289" w:footer="28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371B" w14:textId="77777777" w:rsidR="00EC049A" w:rsidRDefault="00EC049A" w:rsidP="00F91E10">
      <w:r>
        <w:separator/>
      </w:r>
    </w:p>
  </w:endnote>
  <w:endnote w:type="continuationSeparator" w:id="0">
    <w:p w14:paraId="3D138F72" w14:textId="77777777" w:rsidR="00EC049A" w:rsidRDefault="00EC049A" w:rsidP="00F9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4F33" w14:textId="77777777" w:rsidR="00F91E10" w:rsidRDefault="00F9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CFB9" w14:textId="77777777" w:rsidR="00F91E10" w:rsidRDefault="00F91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547C" w14:textId="77777777" w:rsidR="00F91E10" w:rsidRDefault="00F9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5195" w14:textId="77777777" w:rsidR="00EC049A" w:rsidRDefault="00EC049A" w:rsidP="00F91E10">
      <w:r>
        <w:separator/>
      </w:r>
    </w:p>
  </w:footnote>
  <w:footnote w:type="continuationSeparator" w:id="0">
    <w:p w14:paraId="79020ACA" w14:textId="77777777" w:rsidR="00EC049A" w:rsidRDefault="00EC049A" w:rsidP="00F9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6193" w14:textId="47773BA1" w:rsidR="00F91E10" w:rsidRDefault="00EC049A">
    <w:pPr>
      <w:pStyle w:val="Header"/>
    </w:pPr>
    <w:r>
      <w:rPr>
        <w:noProof/>
      </w:rPr>
      <w:pict w14:anchorId="39212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464047" o:spid="_x0000_s1026" type="#_x0000_t136" style="position:absolute;margin-left:0;margin-top:0;width:435.35pt;height:17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F8D4" w14:textId="684F42BA" w:rsidR="00F91E10" w:rsidRDefault="00EC049A">
    <w:pPr>
      <w:pStyle w:val="Header"/>
    </w:pPr>
    <w:r>
      <w:rPr>
        <w:noProof/>
      </w:rPr>
      <w:pict w14:anchorId="19D05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464048" o:spid="_x0000_s1027" type="#_x0000_t136" style="position:absolute;margin-left:0;margin-top:0;width:435.35pt;height:174.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7843" w14:textId="0DBB842D" w:rsidR="00F91E10" w:rsidRDefault="00EC049A">
    <w:pPr>
      <w:pStyle w:val="Header"/>
    </w:pPr>
    <w:r>
      <w:rPr>
        <w:noProof/>
      </w:rPr>
      <w:pict w14:anchorId="50880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464046" o:spid="_x0000_s1025" type="#_x0000_t136" style="position:absolute;margin-left:0;margin-top:0;width:435.35pt;height:17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D23"/>
    <w:multiLevelType w:val="hybridMultilevel"/>
    <w:tmpl w:val="A2DA2E40"/>
    <w:lvl w:ilvl="0" w:tplc="1A0E0D38">
      <w:start w:val="1"/>
      <w:numFmt w:val="decimal"/>
      <w:lvlText w:val="%1."/>
      <w:lvlJc w:val="left"/>
      <w:pPr>
        <w:tabs>
          <w:tab w:val="num" w:pos="502"/>
        </w:tabs>
        <w:ind w:left="502" w:hanging="360"/>
      </w:pPr>
      <w:rPr>
        <w:rFonts w:hint="default"/>
        <w:b/>
        <w:bCs/>
        <w:i w:val="0"/>
        <w:iCs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1F861310"/>
    <w:multiLevelType w:val="hybridMultilevel"/>
    <w:tmpl w:val="EB8AAA2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FEA1704"/>
    <w:multiLevelType w:val="hybridMultilevel"/>
    <w:tmpl w:val="EB8AAA2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6C34160"/>
    <w:multiLevelType w:val="hybridMultilevel"/>
    <w:tmpl w:val="EB8AAA26"/>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9826D4F"/>
    <w:multiLevelType w:val="hybridMultilevel"/>
    <w:tmpl w:val="8D1CE59C"/>
    <w:lvl w:ilvl="0" w:tplc="1009000F">
      <w:start w:val="1"/>
      <w:numFmt w:val="decimal"/>
      <w:lvlText w:val="%1."/>
      <w:lvlJc w:val="left"/>
      <w:pPr>
        <w:ind w:left="1627" w:hanging="360"/>
      </w:pPr>
    </w:lvl>
    <w:lvl w:ilvl="1" w:tplc="10090019" w:tentative="1">
      <w:start w:val="1"/>
      <w:numFmt w:val="lowerLetter"/>
      <w:lvlText w:val="%2."/>
      <w:lvlJc w:val="left"/>
      <w:pPr>
        <w:ind w:left="2347" w:hanging="360"/>
      </w:pPr>
    </w:lvl>
    <w:lvl w:ilvl="2" w:tplc="1009001B" w:tentative="1">
      <w:start w:val="1"/>
      <w:numFmt w:val="lowerRoman"/>
      <w:lvlText w:val="%3."/>
      <w:lvlJc w:val="right"/>
      <w:pPr>
        <w:ind w:left="3067" w:hanging="180"/>
      </w:pPr>
    </w:lvl>
    <w:lvl w:ilvl="3" w:tplc="1009000F" w:tentative="1">
      <w:start w:val="1"/>
      <w:numFmt w:val="decimal"/>
      <w:lvlText w:val="%4."/>
      <w:lvlJc w:val="left"/>
      <w:pPr>
        <w:ind w:left="3787" w:hanging="360"/>
      </w:pPr>
    </w:lvl>
    <w:lvl w:ilvl="4" w:tplc="10090019" w:tentative="1">
      <w:start w:val="1"/>
      <w:numFmt w:val="lowerLetter"/>
      <w:lvlText w:val="%5."/>
      <w:lvlJc w:val="left"/>
      <w:pPr>
        <w:ind w:left="4507" w:hanging="360"/>
      </w:pPr>
    </w:lvl>
    <w:lvl w:ilvl="5" w:tplc="1009001B" w:tentative="1">
      <w:start w:val="1"/>
      <w:numFmt w:val="lowerRoman"/>
      <w:lvlText w:val="%6."/>
      <w:lvlJc w:val="right"/>
      <w:pPr>
        <w:ind w:left="5227" w:hanging="180"/>
      </w:pPr>
    </w:lvl>
    <w:lvl w:ilvl="6" w:tplc="1009000F" w:tentative="1">
      <w:start w:val="1"/>
      <w:numFmt w:val="decimal"/>
      <w:lvlText w:val="%7."/>
      <w:lvlJc w:val="left"/>
      <w:pPr>
        <w:ind w:left="5947" w:hanging="360"/>
      </w:pPr>
    </w:lvl>
    <w:lvl w:ilvl="7" w:tplc="10090019" w:tentative="1">
      <w:start w:val="1"/>
      <w:numFmt w:val="lowerLetter"/>
      <w:lvlText w:val="%8."/>
      <w:lvlJc w:val="left"/>
      <w:pPr>
        <w:ind w:left="6667" w:hanging="360"/>
      </w:pPr>
    </w:lvl>
    <w:lvl w:ilvl="8" w:tplc="1009001B" w:tentative="1">
      <w:start w:val="1"/>
      <w:numFmt w:val="lowerRoman"/>
      <w:lvlText w:val="%9."/>
      <w:lvlJc w:val="right"/>
      <w:pPr>
        <w:ind w:left="7387" w:hanging="180"/>
      </w:pPr>
    </w:lvl>
  </w:abstractNum>
  <w:abstractNum w:abstractNumId="5" w15:restartNumberingAfterBreak="0">
    <w:nsid w:val="3FF845F7"/>
    <w:multiLevelType w:val="hybridMultilevel"/>
    <w:tmpl w:val="053C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A0DD3"/>
    <w:multiLevelType w:val="hybridMultilevel"/>
    <w:tmpl w:val="7E3081D4"/>
    <w:lvl w:ilvl="0" w:tplc="FFFFFFFF">
      <w:start w:val="1"/>
      <w:numFmt w:val="decimal"/>
      <w:lvlText w:val="%1."/>
      <w:lvlJc w:val="left"/>
      <w:pPr>
        <w:tabs>
          <w:tab w:val="num" w:pos="502"/>
        </w:tabs>
        <w:ind w:left="502" w:hanging="360"/>
      </w:pPr>
      <w:rPr>
        <w:rFonts w:hint="default"/>
        <w:b/>
        <w:bCs/>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AED57CB"/>
    <w:multiLevelType w:val="singleLevel"/>
    <w:tmpl w:val="B7000CB0"/>
    <w:lvl w:ilvl="0">
      <w:start w:val="1"/>
      <w:numFmt w:val="decimal"/>
      <w:lvlText w:val="%1"/>
      <w:lvlJc w:val="left"/>
      <w:pPr>
        <w:tabs>
          <w:tab w:val="num" w:pos="720"/>
        </w:tabs>
        <w:ind w:left="720" w:hanging="720"/>
      </w:pPr>
      <w:rPr>
        <w:rFonts w:hint="default"/>
      </w:rPr>
    </w:lvl>
  </w:abstractNum>
  <w:abstractNum w:abstractNumId="8" w15:restartNumberingAfterBreak="0">
    <w:nsid w:val="7C6A422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EC3457A"/>
    <w:multiLevelType w:val="singleLevel"/>
    <w:tmpl w:val="43F099D0"/>
    <w:lvl w:ilvl="0">
      <w:start w:val="2"/>
      <w:numFmt w:val="decimal"/>
      <w:lvlText w:val="%1."/>
      <w:lvlJc w:val="left"/>
      <w:pPr>
        <w:tabs>
          <w:tab w:val="num" w:pos="720"/>
        </w:tabs>
        <w:ind w:left="720" w:hanging="720"/>
      </w:pPr>
      <w:rPr>
        <w:rFonts w:hint="default"/>
      </w:rPr>
    </w:lvl>
  </w:abstractNum>
  <w:num w:numId="1" w16cid:durableId="107505746">
    <w:abstractNumId w:val="7"/>
  </w:num>
  <w:num w:numId="2" w16cid:durableId="1434662857">
    <w:abstractNumId w:val="9"/>
  </w:num>
  <w:num w:numId="3" w16cid:durableId="328601140">
    <w:abstractNumId w:val="8"/>
  </w:num>
  <w:num w:numId="4" w16cid:durableId="1514689949">
    <w:abstractNumId w:val="4"/>
  </w:num>
  <w:num w:numId="5" w16cid:durableId="267201813">
    <w:abstractNumId w:val="5"/>
  </w:num>
  <w:num w:numId="6" w16cid:durableId="1326858695">
    <w:abstractNumId w:val="0"/>
  </w:num>
  <w:num w:numId="7" w16cid:durableId="881673790">
    <w:abstractNumId w:val="2"/>
  </w:num>
  <w:num w:numId="8" w16cid:durableId="1323696299">
    <w:abstractNumId w:val="3"/>
  </w:num>
  <w:num w:numId="9" w16cid:durableId="2125345658">
    <w:abstractNumId w:val="1"/>
  </w:num>
  <w:num w:numId="10" w16cid:durableId="415593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38"/>
    <w:rsid w:val="0001139E"/>
    <w:rsid w:val="00020EC6"/>
    <w:rsid w:val="00025865"/>
    <w:rsid w:val="00031289"/>
    <w:rsid w:val="00046404"/>
    <w:rsid w:val="00051548"/>
    <w:rsid w:val="00054E1B"/>
    <w:rsid w:val="00057F3C"/>
    <w:rsid w:val="00065083"/>
    <w:rsid w:val="00066984"/>
    <w:rsid w:val="00070C0A"/>
    <w:rsid w:val="000859DD"/>
    <w:rsid w:val="00085C87"/>
    <w:rsid w:val="00093E9F"/>
    <w:rsid w:val="000969CB"/>
    <w:rsid w:val="000973CD"/>
    <w:rsid w:val="000D4DCE"/>
    <w:rsid w:val="000F218B"/>
    <w:rsid w:val="000F4A74"/>
    <w:rsid w:val="00110170"/>
    <w:rsid w:val="00117EEA"/>
    <w:rsid w:val="00120E97"/>
    <w:rsid w:val="001300B7"/>
    <w:rsid w:val="0014038B"/>
    <w:rsid w:val="00141971"/>
    <w:rsid w:val="00150BA0"/>
    <w:rsid w:val="00161F9E"/>
    <w:rsid w:val="00167A8D"/>
    <w:rsid w:val="00177CE7"/>
    <w:rsid w:val="00181773"/>
    <w:rsid w:val="0019355B"/>
    <w:rsid w:val="001A58AA"/>
    <w:rsid w:val="001B551B"/>
    <w:rsid w:val="001C3719"/>
    <w:rsid w:val="001D0A18"/>
    <w:rsid w:val="001D0C65"/>
    <w:rsid w:val="001D2447"/>
    <w:rsid w:val="001F1A28"/>
    <w:rsid w:val="002016B0"/>
    <w:rsid w:val="002061F3"/>
    <w:rsid w:val="00207DE5"/>
    <w:rsid w:val="0021564F"/>
    <w:rsid w:val="00224AC7"/>
    <w:rsid w:val="00226AA5"/>
    <w:rsid w:val="0023463D"/>
    <w:rsid w:val="002372FF"/>
    <w:rsid w:val="00243B78"/>
    <w:rsid w:val="002508DF"/>
    <w:rsid w:val="00251BA8"/>
    <w:rsid w:val="00254F4E"/>
    <w:rsid w:val="00260662"/>
    <w:rsid w:val="00272736"/>
    <w:rsid w:val="00277A45"/>
    <w:rsid w:val="002800EB"/>
    <w:rsid w:val="002A60DA"/>
    <w:rsid w:val="002B25CD"/>
    <w:rsid w:val="002C4A59"/>
    <w:rsid w:val="002D07C4"/>
    <w:rsid w:val="002E1205"/>
    <w:rsid w:val="002E3199"/>
    <w:rsid w:val="002F00E3"/>
    <w:rsid w:val="002F0C4C"/>
    <w:rsid w:val="002F141E"/>
    <w:rsid w:val="002F5FB0"/>
    <w:rsid w:val="002F6570"/>
    <w:rsid w:val="003016AC"/>
    <w:rsid w:val="00301F23"/>
    <w:rsid w:val="00303D00"/>
    <w:rsid w:val="00312E23"/>
    <w:rsid w:val="00322703"/>
    <w:rsid w:val="00334D13"/>
    <w:rsid w:val="00335745"/>
    <w:rsid w:val="00336470"/>
    <w:rsid w:val="00340C66"/>
    <w:rsid w:val="00340D27"/>
    <w:rsid w:val="00342886"/>
    <w:rsid w:val="003453D6"/>
    <w:rsid w:val="00345412"/>
    <w:rsid w:val="00353A5E"/>
    <w:rsid w:val="003607E3"/>
    <w:rsid w:val="00365851"/>
    <w:rsid w:val="00373DAE"/>
    <w:rsid w:val="00381E6B"/>
    <w:rsid w:val="0038621B"/>
    <w:rsid w:val="00387905"/>
    <w:rsid w:val="00393EE6"/>
    <w:rsid w:val="003B1F5D"/>
    <w:rsid w:val="003B351F"/>
    <w:rsid w:val="003C31CA"/>
    <w:rsid w:val="003D044C"/>
    <w:rsid w:val="003D20ED"/>
    <w:rsid w:val="003D4087"/>
    <w:rsid w:val="003E15DE"/>
    <w:rsid w:val="003E3F43"/>
    <w:rsid w:val="003F1075"/>
    <w:rsid w:val="00400B4E"/>
    <w:rsid w:val="00410704"/>
    <w:rsid w:val="00411A6C"/>
    <w:rsid w:val="0041329D"/>
    <w:rsid w:val="00420593"/>
    <w:rsid w:val="00444D87"/>
    <w:rsid w:val="00461419"/>
    <w:rsid w:val="00471AE2"/>
    <w:rsid w:val="004732E1"/>
    <w:rsid w:val="00480D7E"/>
    <w:rsid w:val="004A040A"/>
    <w:rsid w:val="004A2E07"/>
    <w:rsid w:val="004A4074"/>
    <w:rsid w:val="004B124A"/>
    <w:rsid w:val="004B18FC"/>
    <w:rsid w:val="004B23A1"/>
    <w:rsid w:val="004C42BB"/>
    <w:rsid w:val="004D0669"/>
    <w:rsid w:val="004D33C3"/>
    <w:rsid w:val="004D3DF2"/>
    <w:rsid w:val="004E3E5C"/>
    <w:rsid w:val="004F5331"/>
    <w:rsid w:val="005008B1"/>
    <w:rsid w:val="00506699"/>
    <w:rsid w:val="00513C2A"/>
    <w:rsid w:val="0051634D"/>
    <w:rsid w:val="00521044"/>
    <w:rsid w:val="00545E52"/>
    <w:rsid w:val="005716F0"/>
    <w:rsid w:val="005724C1"/>
    <w:rsid w:val="00577204"/>
    <w:rsid w:val="0058332B"/>
    <w:rsid w:val="00586370"/>
    <w:rsid w:val="005919B0"/>
    <w:rsid w:val="005A3C37"/>
    <w:rsid w:val="005A74B0"/>
    <w:rsid w:val="005B0B83"/>
    <w:rsid w:val="005B2A6B"/>
    <w:rsid w:val="005C17E4"/>
    <w:rsid w:val="005C5928"/>
    <w:rsid w:val="005D2C1D"/>
    <w:rsid w:val="005D7464"/>
    <w:rsid w:val="005E2EC1"/>
    <w:rsid w:val="005F5842"/>
    <w:rsid w:val="00602137"/>
    <w:rsid w:val="0061477C"/>
    <w:rsid w:val="0061522C"/>
    <w:rsid w:val="00620077"/>
    <w:rsid w:val="006200B6"/>
    <w:rsid w:val="0062163A"/>
    <w:rsid w:val="00624A2C"/>
    <w:rsid w:val="00625589"/>
    <w:rsid w:val="00640CD3"/>
    <w:rsid w:val="00641322"/>
    <w:rsid w:val="00641BE6"/>
    <w:rsid w:val="0065368F"/>
    <w:rsid w:val="0066086C"/>
    <w:rsid w:val="00662BAF"/>
    <w:rsid w:val="0066657D"/>
    <w:rsid w:val="00666F3E"/>
    <w:rsid w:val="00667DB9"/>
    <w:rsid w:val="0068270D"/>
    <w:rsid w:val="00695C79"/>
    <w:rsid w:val="006A031B"/>
    <w:rsid w:val="006A265B"/>
    <w:rsid w:val="006B19D1"/>
    <w:rsid w:val="006B3CEB"/>
    <w:rsid w:val="006D307B"/>
    <w:rsid w:val="007022F6"/>
    <w:rsid w:val="00702518"/>
    <w:rsid w:val="00707188"/>
    <w:rsid w:val="007204BC"/>
    <w:rsid w:val="0073594D"/>
    <w:rsid w:val="007403D1"/>
    <w:rsid w:val="0077410B"/>
    <w:rsid w:val="007751F0"/>
    <w:rsid w:val="00787890"/>
    <w:rsid w:val="0079259D"/>
    <w:rsid w:val="00796577"/>
    <w:rsid w:val="007A3EED"/>
    <w:rsid w:val="007A708B"/>
    <w:rsid w:val="007B0BB1"/>
    <w:rsid w:val="007B3FF8"/>
    <w:rsid w:val="007B58F9"/>
    <w:rsid w:val="007B73A5"/>
    <w:rsid w:val="007C24E1"/>
    <w:rsid w:val="007C2C1E"/>
    <w:rsid w:val="007E0375"/>
    <w:rsid w:val="007E503B"/>
    <w:rsid w:val="007E53A3"/>
    <w:rsid w:val="007F12CA"/>
    <w:rsid w:val="00801398"/>
    <w:rsid w:val="00801A25"/>
    <w:rsid w:val="00804E54"/>
    <w:rsid w:val="00813A75"/>
    <w:rsid w:val="00830057"/>
    <w:rsid w:val="00840622"/>
    <w:rsid w:val="00843441"/>
    <w:rsid w:val="00847B42"/>
    <w:rsid w:val="0085349B"/>
    <w:rsid w:val="00853C6C"/>
    <w:rsid w:val="0085486C"/>
    <w:rsid w:val="008628BE"/>
    <w:rsid w:val="00880B23"/>
    <w:rsid w:val="00892848"/>
    <w:rsid w:val="008A19C2"/>
    <w:rsid w:val="008B22B1"/>
    <w:rsid w:val="008B283C"/>
    <w:rsid w:val="008B726D"/>
    <w:rsid w:val="008B7637"/>
    <w:rsid w:val="008D6C07"/>
    <w:rsid w:val="008F6BA3"/>
    <w:rsid w:val="00900C4A"/>
    <w:rsid w:val="00907A80"/>
    <w:rsid w:val="00910283"/>
    <w:rsid w:val="00914443"/>
    <w:rsid w:val="009228A0"/>
    <w:rsid w:val="009250AE"/>
    <w:rsid w:val="00960C7D"/>
    <w:rsid w:val="00981E71"/>
    <w:rsid w:val="009822BD"/>
    <w:rsid w:val="00983E06"/>
    <w:rsid w:val="0098464B"/>
    <w:rsid w:val="00990685"/>
    <w:rsid w:val="00991442"/>
    <w:rsid w:val="009A1C95"/>
    <w:rsid w:val="009B2A4B"/>
    <w:rsid w:val="009B348F"/>
    <w:rsid w:val="009B43B3"/>
    <w:rsid w:val="009C3EF7"/>
    <w:rsid w:val="009C4435"/>
    <w:rsid w:val="009C4968"/>
    <w:rsid w:val="009C6C6E"/>
    <w:rsid w:val="009D3429"/>
    <w:rsid w:val="009D4D9E"/>
    <w:rsid w:val="009D4F11"/>
    <w:rsid w:val="009F1410"/>
    <w:rsid w:val="00A02A0C"/>
    <w:rsid w:val="00A0424B"/>
    <w:rsid w:val="00A05E7F"/>
    <w:rsid w:val="00A07DB3"/>
    <w:rsid w:val="00A17930"/>
    <w:rsid w:val="00A2012E"/>
    <w:rsid w:val="00A20DC0"/>
    <w:rsid w:val="00A22F0D"/>
    <w:rsid w:val="00A35FE5"/>
    <w:rsid w:val="00A422A0"/>
    <w:rsid w:val="00A4261E"/>
    <w:rsid w:val="00A54E2A"/>
    <w:rsid w:val="00A5689A"/>
    <w:rsid w:val="00A63268"/>
    <w:rsid w:val="00A7799F"/>
    <w:rsid w:val="00A801CD"/>
    <w:rsid w:val="00A95DBB"/>
    <w:rsid w:val="00AB510F"/>
    <w:rsid w:val="00AC40F3"/>
    <w:rsid w:val="00AC700E"/>
    <w:rsid w:val="00AD1F99"/>
    <w:rsid w:val="00AD5B1F"/>
    <w:rsid w:val="00AD6117"/>
    <w:rsid w:val="00AE3485"/>
    <w:rsid w:val="00AF23CA"/>
    <w:rsid w:val="00B049F6"/>
    <w:rsid w:val="00B0534B"/>
    <w:rsid w:val="00B12BFB"/>
    <w:rsid w:val="00B131AE"/>
    <w:rsid w:val="00B17BEF"/>
    <w:rsid w:val="00B26401"/>
    <w:rsid w:val="00B361AD"/>
    <w:rsid w:val="00B37D98"/>
    <w:rsid w:val="00B469DE"/>
    <w:rsid w:val="00B56248"/>
    <w:rsid w:val="00B61FF6"/>
    <w:rsid w:val="00B62DDE"/>
    <w:rsid w:val="00B63E0B"/>
    <w:rsid w:val="00B71AB9"/>
    <w:rsid w:val="00B9292A"/>
    <w:rsid w:val="00B95E5E"/>
    <w:rsid w:val="00BA12DC"/>
    <w:rsid w:val="00BA2E03"/>
    <w:rsid w:val="00BB4559"/>
    <w:rsid w:val="00BD4D1F"/>
    <w:rsid w:val="00BD69E1"/>
    <w:rsid w:val="00BE1BE6"/>
    <w:rsid w:val="00BF21AE"/>
    <w:rsid w:val="00BF4BE3"/>
    <w:rsid w:val="00BF54D7"/>
    <w:rsid w:val="00C0666D"/>
    <w:rsid w:val="00C06B64"/>
    <w:rsid w:val="00C254AA"/>
    <w:rsid w:val="00C26B23"/>
    <w:rsid w:val="00C3028F"/>
    <w:rsid w:val="00C33168"/>
    <w:rsid w:val="00C3378B"/>
    <w:rsid w:val="00C40F9F"/>
    <w:rsid w:val="00C43ED1"/>
    <w:rsid w:val="00C44D32"/>
    <w:rsid w:val="00C46C75"/>
    <w:rsid w:val="00C52C1F"/>
    <w:rsid w:val="00C806BF"/>
    <w:rsid w:val="00C80F19"/>
    <w:rsid w:val="00C924B3"/>
    <w:rsid w:val="00C92720"/>
    <w:rsid w:val="00C95AE0"/>
    <w:rsid w:val="00CA7A8B"/>
    <w:rsid w:val="00CC481E"/>
    <w:rsid w:val="00CC4F08"/>
    <w:rsid w:val="00CC50ED"/>
    <w:rsid w:val="00CD0E19"/>
    <w:rsid w:val="00CD1373"/>
    <w:rsid w:val="00CD2461"/>
    <w:rsid w:val="00CE096E"/>
    <w:rsid w:val="00CE7810"/>
    <w:rsid w:val="00CF515E"/>
    <w:rsid w:val="00D03B17"/>
    <w:rsid w:val="00D051E6"/>
    <w:rsid w:val="00D13B76"/>
    <w:rsid w:val="00D14676"/>
    <w:rsid w:val="00D14F65"/>
    <w:rsid w:val="00D14F84"/>
    <w:rsid w:val="00D351F0"/>
    <w:rsid w:val="00D36B10"/>
    <w:rsid w:val="00D36E43"/>
    <w:rsid w:val="00D42064"/>
    <w:rsid w:val="00D45BA5"/>
    <w:rsid w:val="00D50ED3"/>
    <w:rsid w:val="00D50FE3"/>
    <w:rsid w:val="00D65F14"/>
    <w:rsid w:val="00D76111"/>
    <w:rsid w:val="00D858A8"/>
    <w:rsid w:val="00DA0BE8"/>
    <w:rsid w:val="00DA78FD"/>
    <w:rsid w:val="00DB0DC2"/>
    <w:rsid w:val="00DB456E"/>
    <w:rsid w:val="00DB5D55"/>
    <w:rsid w:val="00DB6E68"/>
    <w:rsid w:val="00DE02DA"/>
    <w:rsid w:val="00DE0F88"/>
    <w:rsid w:val="00DE1A85"/>
    <w:rsid w:val="00DE67E1"/>
    <w:rsid w:val="00DF204D"/>
    <w:rsid w:val="00DF26EE"/>
    <w:rsid w:val="00E04931"/>
    <w:rsid w:val="00E1340D"/>
    <w:rsid w:val="00E22E38"/>
    <w:rsid w:val="00E459CD"/>
    <w:rsid w:val="00E47BA4"/>
    <w:rsid w:val="00E72E58"/>
    <w:rsid w:val="00E803EB"/>
    <w:rsid w:val="00E90297"/>
    <w:rsid w:val="00E905D7"/>
    <w:rsid w:val="00E91422"/>
    <w:rsid w:val="00E93788"/>
    <w:rsid w:val="00EA49A8"/>
    <w:rsid w:val="00EC049A"/>
    <w:rsid w:val="00EC159A"/>
    <w:rsid w:val="00EC5E2A"/>
    <w:rsid w:val="00ED04C4"/>
    <w:rsid w:val="00EE3040"/>
    <w:rsid w:val="00EF187E"/>
    <w:rsid w:val="00EF4CC0"/>
    <w:rsid w:val="00F00448"/>
    <w:rsid w:val="00F03C0B"/>
    <w:rsid w:val="00F12C38"/>
    <w:rsid w:val="00F142D7"/>
    <w:rsid w:val="00F325BE"/>
    <w:rsid w:val="00F338C2"/>
    <w:rsid w:val="00F35111"/>
    <w:rsid w:val="00F400A5"/>
    <w:rsid w:val="00F40513"/>
    <w:rsid w:val="00F52C4F"/>
    <w:rsid w:val="00F53C06"/>
    <w:rsid w:val="00F75511"/>
    <w:rsid w:val="00F776B3"/>
    <w:rsid w:val="00F91E10"/>
    <w:rsid w:val="00F9327C"/>
    <w:rsid w:val="00FA0745"/>
    <w:rsid w:val="00FA4906"/>
    <w:rsid w:val="00FB5850"/>
    <w:rsid w:val="00FB69AC"/>
    <w:rsid w:val="00FD147A"/>
    <w:rsid w:val="00FD301D"/>
    <w:rsid w:val="00FD324E"/>
    <w:rsid w:val="00FF5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PlaceType"/>
  <w:shapeDefaults>
    <o:shapedefaults v:ext="edit" spidmax="2050"/>
    <o:shapelayout v:ext="edit">
      <o:idmap v:ext="edit" data="2"/>
    </o:shapelayout>
  </w:shapeDefaults>
  <w:decimalSymbol w:val="."/>
  <w:listSeparator w:val=","/>
  <w14:docId w14:val="165E77FA"/>
  <w15:docId w15:val="{5B3C8BA7-97DB-425B-B9DB-BF7A5F1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FF"/>
      <w:sz w:val="24"/>
      <w:lang w:val="en-US"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semiHidden/>
    <w:unhideWhenUsed/>
    <w:qFormat/>
    <w:rsid w:val="0079657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124A"/>
    <w:rPr>
      <w:rFonts w:ascii="Tahoma" w:hAnsi="Tahoma" w:cs="Tahoma"/>
      <w:sz w:val="16"/>
      <w:szCs w:val="16"/>
    </w:rPr>
  </w:style>
  <w:style w:type="character" w:customStyle="1" w:styleId="Heading4Char">
    <w:name w:val="Heading 4 Char"/>
    <w:basedOn w:val="DefaultParagraphFont"/>
    <w:link w:val="Heading4"/>
    <w:semiHidden/>
    <w:rsid w:val="00796577"/>
    <w:rPr>
      <w:rFonts w:asciiTheme="majorHAnsi" w:eastAsiaTheme="majorEastAsia" w:hAnsiTheme="majorHAnsi" w:cstheme="majorBidi"/>
      <w:i/>
      <w:iCs/>
      <w:color w:val="365F91" w:themeColor="accent1" w:themeShade="BF"/>
      <w:sz w:val="24"/>
      <w:lang w:val="en-US" w:eastAsia="en-US"/>
    </w:rPr>
  </w:style>
  <w:style w:type="paragraph" w:styleId="ListParagraph">
    <w:name w:val="List Paragraph"/>
    <w:basedOn w:val="Normal"/>
    <w:uiPriority w:val="34"/>
    <w:qFormat/>
    <w:rsid w:val="00C33168"/>
    <w:pPr>
      <w:ind w:left="720"/>
      <w:contextualSpacing/>
    </w:pPr>
  </w:style>
  <w:style w:type="paragraph" w:styleId="Header">
    <w:name w:val="header"/>
    <w:basedOn w:val="Normal"/>
    <w:link w:val="HeaderChar"/>
    <w:unhideWhenUsed/>
    <w:rsid w:val="00F91E10"/>
    <w:pPr>
      <w:tabs>
        <w:tab w:val="center" w:pos="4680"/>
        <w:tab w:val="right" w:pos="9360"/>
      </w:tabs>
    </w:pPr>
  </w:style>
  <w:style w:type="character" w:customStyle="1" w:styleId="HeaderChar">
    <w:name w:val="Header Char"/>
    <w:basedOn w:val="DefaultParagraphFont"/>
    <w:link w:val="Header"/>
    <w:rsid w:val="00F91E10"/>
    <w:rPr>
      <w:rFonts w:ascii="Arial" w:hAnsi="Arial"/>
      <w:color w:val="0000FF"/>
      <w:sz w:val="24"/>
      <w:lang w:val="en-US" w:eastAsia="en-US"/>
    </w:rPr>
  </w:style>
  <w:style w:type="paragraph" w:styleId="Footer">
    <w:name w:val="footer"/>
    <w:basedOn w:val="Normal"/>
    <w:link w:val="FooterChar"/>
    <w:unhideWhenUsed/>
    <w:rsid w:val="00F91E10"/>
    <w:pPr>
      <w:tabs>
        <w:tab w:val="center" w:pos="4680"/>
        <w:tab w:val="right" w:pos="9360"/>
      </w:tabs>
    </w:pPr>
  </w:style>
  <w:style w:type="character" w:customStyle="1" w:styleId="FooterChar">
    <w:name w:val="Footer Char"/>
    <w:basedOn w:val="DefaultParagraphFont"/>
    <w:link w:val="Footer"/>
    <w:rsid w:val="00F91E10"/>
    <w:rPr>
      <w:rFonts w:ascii="Arial" w:hAnsi="Arial"/>
      <w:color w:val="0000F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CORPORATION OF THE TOWNSHIP OF TAY</vt:lpstr>
    </vt:vector>
  </TitlesOfParts>
  <Company>Township of Tay</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OF THE TOWNSHIP OF TAY</dc:title>
  <dc:creator>Township of Tay</dc:creator>
  <cp:lastModifiedBy>Todd Weatherell</cp:lastModifiedBy>
  <cp:revision>34</cp:revision>
  <cp:lastPrinted>2024-02-27T20:00:00Z</cp:lastPrinted>
  <dcterms:created xsi:type="dcterms:W3CDTF">2024-02-06T21:32:00Z</dcterms:created>
  <dcterms:modified xsi:type="dcterms:W3CDTF">2024-03-01T18:21:00Z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4f2aba700cbcf864a1d1431ffccf557461df30455b634fa439c650e7ef994833</vt:lpwstr>
  </property>
</Properties>
</file>